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ECDD" w14:textId="3FC6AA0B" w:rsidR="00B93E8A" w:rsidRPr="00C82792" w:rsidRDefault="00890882" w:rsidP="00C82792">
      <w:pPr>
        <w:pStyle w:val="Title"/>
      </w:pPr>
      <w:r w:rsidRPr="00C82792">
        <w:t>Energy Development</w:t>
      </w:r>
    </w:p>
    <w:p w14:paraId="27926567" w14:textId="1905F2A3" w:rsidR="00890882" w:rsidRPr="00622885" w:rsidRDefault="000C321B" w:rsidP="00622885">
      <w:pPr>
        <w:pStyle w:val="Subtitle"/>
      </w:pPr>
      <w:r>
        <w:t xml:space="preserve">Alberta Wilderness Association – </w:t>
      </w:r>
      <w:r w:rsidR="00890882" w:rsidRPr="00622885">
        <w:t>Position Statement</w:t>
      </w:r>
      <w:r w:rsidR="004C5A94">
        <w:t xml:space="preserve"> (</w:t>
      </w:r>
      <w:r w:rsidR="00DE36CB">
        <w:t xml:space="preserve">November </w:t>
      </w:r>
      <w:r w:rsidR="004C5A94">
        <w:t>2024)</w:t>
      </w:r>
    </w:p>
    <w:p w14:paraId="7A2E67C5" w14:textId="43D70ABA" w:rsidR="00FE66EF" w:rsidRPr="00622885" w:rsidRDefault="005E7A36" w:rsidP="00622885">
      <w:pPr>
        <w:pStyle w:val="Heading1"/>
      </w:pPr>
      <w:r w:rsidRPr="00622885">
        <w:t>Background</w:t>
      </w:r>
    </w:p>
    <w:p w14:paraId="669E13BB" w14:textId="38C6D2B8" w:rsidR="009F33B8" w:rsidRDefault="427E4B46" w:rsidP="427E4B46">
      <w:r>
        <w:t xml:space="preserve">Climate change is primarily driven by greenhouse gas (GHG) emissions released by the combustion of fossil fuels such as coal, oil, and gas. The production and combustion of fossil fuels also releases toxic pollutants which have negative impacts on ecosystems and human health. Transitioning away from fossil fuels has multiple benefits for </w:t>
      </w:r>
      <w:r w:rsidR="00AE36D1">
        <w:t xml:space="preserve">fighting </w:t>
      </w:r>
      <w:r>
        <w:t xml:space="preserve">climate change, </w:t>
      </w:r>
      <w:r w:rsidR="00682C21">
        <w:t>preserving biodiversity,</w:t>
      </w:r>
      <w:r>
        <w:t xml:space="preserve"> and </w:t>
      </w:r>
      <w:r w:rsidR="00D63EFC">
        <w:t xml:space="preserve">protecting </w:t>
      </w:r>
      <w:r>
        <w:t xml:space="preserve">human health. </w:t>
      </w:r>
    </w:p>
    <w:p w14:paraId="1C5F8DA3" w14:textId="15E46C8F" w:rsidR="00FE66EF" w:rsidRDefault="427E4B46" w:rsidP="427E4B46">
      <w:r>
        <w:t xml:space="preserve">Canada has committed to reducing our national GHG emissions </w:t>
      </w:r>
      <w:r w:rsidR="00D549A3">
        <w:t xml:space="preserve">by </w:t>
      </w:r>
      <w:r>
        <w:t>transitioning away from fossil fuels. Since 2005, we have only reduced our total emissions by 7.1 percent, far less than the 40 to 45 percent reduction by 2030 agreed</w:t>
      </w:r>
      <w:r w:rsidR="00DD5A3E">
        <w:t xml:space="preserve"> under</w:t>
      </w:r>
      <w:r>
        <w:t xml:space="preserve"> the 2015 Paris Agreement. As one of the G7 countries with the highest per-capita emissions, we need to do more if we are going to do our part towards meeting global climate goals and avoid catastrophic warming beyond 1.5 °C.</w:t>
      </w:r>
    </w:p>
    <w:p w14:paraId="5EA2AD99" w14:textId="1E793113" w:rsidR="000F13E8" w:rsidRDefault="427E4B46">
      <w:r>
        <w:t xml:space="preserve">Alberta is responsible for 38 percent of Canada’s total emissions, and 59 percent of Alberta’s emissions are produced by the oil and gas sector. In addition, more than 50 percent of Alberta’s total energy consumption is spent on mining, refining, and transporting fossil fuels, which suggests energy demand would drop substantially if we weren’t producing fossil fuels. As a major emitter, the transition from fossil fuels to renewable energy in Alberta would </w:t>
      </w:r>
      <w:r w:rsidR="00FB73E1">
        <w:t xml:space="preserve">significantly </w:t>
      </w:r>
      <w:r>
        <w:t>reduce provincial emissions and help Canada meet our climate commitments.</w:t>
      </w:r>
    </w:p>
    <w:p w14:paraId="6AD46079" w14:textId="2D45FA4B" w:rsidR="00834C90" w:rsidRDefault="00834C90">
      <w:r w:rsidRPr="00834C90">
        <w:t>AWA supports an immediate phase down and timely phase out of fossil fuel production in Alberta in line with international climate commitments. Any future development of fossil fuel reserves needs to be assessed solely on the need for any essential energy or non-energy needs not otherwise satisfied by non-fossil fuel sources.</w:t>
      </w:r>
    </w:p>
    <w:p w14:paraId="20C9ABF7" w14:textId="223683FE" w:rsidR="005A47B1" w:rsidRPr="002560F2" w:rsidRDefault="00964A3B">
      <w:r w:rsidRPr="00964A3B">
        <w:t xml:space="preserve">However, </w:t>
      </w:r>
      <w:r w:rsidR="004E6454">
        <w:t xml:space="preserve">the </w:t>
      </w:r>
      <w:r w:rsidRPr="00964A3B">
        <w:t xml:space="preserve">development </w:t>
      </w:r>
      <w:r w:rsidR="004E6454">
        <w:t xml:space="preserve">of renewable energy </w:t>
      </w:r>
      <w:r w:rsidRPr="00964A3B">
        <w:t xml:space="preserve">needs to happen </w:t>
      </w:r>
      <w:r w:rsidR="004E6454">
        <w:t xml:space="preserve">in a responsible, sustainable, and equitable manner, to </w:t>
      </w:r>
      <w:r w:rsidR="00480BBE">
        <w:t xml:space="preserve">prevent </w:t>
      </w:r>
      <w:r w:rsidR="004E6454">
        <w:t xml:space="preserve">further damage to Alberta’s remaining intact native </w:t>
      </w:r>
      <w:r w:rsidR="002560F2">
        <w:t>ecosystems and</w:t>
      </w:r>
      <w:r w:rsidR="004E6454">
        <w:t xml:space="preserve"> avoid repeating the harms </w:t>
      </w:r>
      <w:r w:rsidR="002560F2">
        <w:t xml:space="preserve">caused by extractive industries to Indigenous and local communities. </w:t>
      </w:r>
    </w:p>
    <w:p w14:paraId="3C79DC13" w14:textId="782AE615" w:rsidR="00655073" w:rsidRPr="00622885" w:rsidRDefault="00655073" w:rsidP="00622885">
      <w:pPr>
        <w:pStyle w:val="Heading2"/>
      </w:pPr>
      <w:r w:rsidRPr="00622885">
        <w:t>Moving Forward</w:t>
      </w:r>
    </w:p>
    <w:p w14:paraId="008B1DA8" w14:textId="05392D83" w:rsidR="00655073" w:rsidRDefault="00655073">
      <w:r>
        <w:t xml:space="preserve">AWA believes that all future energy development in Alberta should be: </w:t>
      </w:r>
    </w:p>
    <w:p w14:paraId="526940E9" w14:textId="203D6AAD" w:rsidR="00EA043F" w:rsidRDefault="427E4B46" w:rsidP="00EA043F">
      <w:pPr>
        <w:pStyle w:val="ListParagraph"/>
        <w:numPr>
          <w:ilvl w:val="0"/>
          <w:numId w:val="1"/>
        </w:numPr>
      </w:pPr>
      <w:r w:rsidRPr="427E4B46">
        <w:rPr>
          <w:b/>
          <w:bCs/>
        </w:rPr>
        <w:t>Renewable</w:t>
      </w:r>
      <w:r>
        <w:t xml:space="preserve"> – Renewable energy comes from sources that will not be depleted, such as wind, solar, and hydro. Existing fossil fuel capacity is sufficient to meet our energy demands while transitioning to renewables within 1.5 degrees of warming. Renewable energy projects have a smaller environmental footprint, including lower carbon emissions and less air pollution, which can help reduce impacts to both human and environmental health. The </w:t>
      </w:r>
      <w:r>
        <w:lastRenderedPageBreak/>
        <w:t xml:space="preserve">switch to renewables is also predicted to reduce average household energy costs for Canadians over time. </w:t>
      </w:r>
    </w:p>
    <w:p w14:paraId="0F093855" w14:textId="77777777" w:rsidR="00EA043F" w:rsidRDefault="00EA043F" w:rsidP="00EA043F">
      <w:pPr>
        <w:pStyle w:val="ListParagraph"/>
      </w:pPr>
    </w:p>
    <w:p w14:paraId="0E1E859C" w14:textId="3D0EE8C9" w:rsidR="00EA043F" w:rsidRDefault="00655073" w:rsidP="00EA043F">
      <w:pPr>
        <w:pStyle w:val="ListParagraph"/>
        <w:numPr>
          <w:ilvl w:val="0"/>
          <w:numId w:val="1"/>
        </w:numPr>
      </w:pPr>
      <w:r w:rsidRPr="005A47B1">
        <w:rPr>
          <w:b/>
          <w:bCs/>
        </w:rPr>
        <w:t xml:space="preserve">Responsibly </w:t>
      </w:r>
      <w:r w:rsidR="005A47B1">
        <w:rPr>
          <w:b/>
          <w:bCs/>
        </w:rPr>
        <w:t>s</w:t>
      </w:r>
      <w:r w:rsidRPr="005A47B1">
        <w:rPr>
          <w:b/>
          <w:bCs/>
        </w:rPr>
        <w:t>ited</w:t>
      </w:r>
      <w:r w:rsidR="00EA043F">
        <w:t xml:space="preserve"> – </w:t>
      </w:r>
      <w:r w:rsidR="005A47B1">
        <w:t>E</w:t>
      </w:r>
      <w:r w:rsidR="00EA043F">
        <w:t xml:space="preserve">nergy projects must not destroy or degrade remaining native ecosystems, including wildlife habitat, and should not further fragment large landscapes. All energy projects should prioritize development on already disturbed or “brownfield” sites to minimize </w:t>
      </w:r>
      <w:r w:rsidR="005A47B1">
        <w:t xml:space="preserve">impacts to the environment. </w:t>
      </w:r>
      <w:r w:rsidR="005A47B1" w:rsidRPr="005A47B1">
        <w:t xml:space="preserve">Alberta must pursue energy development that reduces </w:t>
      </w:r>
      <w:r w:rsidR="005A47B1">
        <w:t xml:space="preserve">the </w:t>
      </w:r>
      <w:r w:rsidR="005A47B1" w:rsidRPr="005A47B1">
        <w:t xml:space="preserve">construction of new </w:t>
      </w:r>
      <w:r w:rsidR="005A47B1">
        <w:t xml:space="preserve">disturbance </w:t>
      </w:r>
      <w:r w:rsidR="005A47B1" w:rsidRPr="005A47B1">
        <w:t xml:space="preserve">to limit further landscape fragmentation, while </w:t>
      </w:r>
      <w:r w:rsidR="00C40A7B">
        <w:t xml:space="preserve">simultaneously </w:t>
      </w:r>
      <w:r w:rsidR="005A47B1" w:rsidRPr="005A47B1">
        <w:t xml:space="preserve">restoring </w:t>
      </w:r>
      <w:r w:rsidR="005A47B1">
        <w:t xml:space="preserve">legacy disturbances. </w:t>
      </w:r>
    </w:p>
    <w:p w14:paraId="43F865F9" w14:textId="77777777" w:rsidR="00EA043F" w:rsidRDefault="00EA043F" w:rsidP="00EA043F">
      <w:pPr>
        <w:pStyle w:val="ListParagraph"/>
      </w:pPr>
    </w:p>
    <w:p w14:paraId="21658712" w14:textId="6CA7F98E" w:rsidR="00AA03FA" w:rsidRDefault="00655073" w:rsidP="00AA03FA">
      <w:pPr>
        <w:pStyle w:val="ListParagraph"/>
        <w:numPr>
          <w:ilvl w:val="0"/>
          <w:numId w:val="1"/>
        </w:numPr>
      </w:pPr>
      <w:r w:rsidRPr="005A47B1">
        <w:rPr>
          <w:b/>
          <w:bCs/>
        </w:rPr>
        <w:t>Accountable to the public and Indigenous people</w:t>
      </w:r>
      <w:r w:rsidR="00EA043F" w:rsidRPr="005A47B1">
        <w:rPr>
          <w:b/>
          <w:bCs/>
        </w:rPr>
        <w:t>s</w:t>
      </w:r>
      <w:r w:rsidR="00EA043F" w:rsidRPr="005A47B1">
        <w:t xml:space="preserve"> – </w:t>
      </w:r>
      <w:r w:rsidR="003E07D4">
        <w:t>Decision</w:t>
      </w:r>
      <w:r w:rsidR="00D40E93">
        <w:t>-</w:t>
      </w:r>
      <w:r w:rsidR="003E07D4">
        <w:t xml:space="preserve">making </w:t>
      </w:r>
      <w:r w:rsidR="00B52998">
        <w:t>processes for energy projects are typically top-down and non-collaborative</w:t>
      </w:r>
      <w:r w:rsidR="00A33E95">
        <w:t xml:space="preserve">. </w:t>
      </w:r>
      <w:r w:rsidR="00094DC6">
        <w:t xml:space="preserve">Those living closest to energy development are the most at risk for disproportionate environmental, health, and social risks. </w:t>
      </w:r>
      <w:r w:rsidR="00B96D1D">
        <w:t>Energy decisions must be democratic and transparent, with sufficient opportunities for meaningful public consultation</w:t>
      </w:r>
      <w:r w:rsidR="00F70F92">
        <w:t>, including the perspectives of Indigenous peoples, civil society groups, and environmental organizations</w:t>
      </w:r>
      <w:r w:rsidR="00654154">
        <w:t xml:space="preserve">. </w:t>
      </w:r>
      <w:r w:rsidR="000E0F4B">
        <w:t>E</w:t>
      </w:r>
      <w:r w:rsidR="00431A05">
        <w:t xml:space="preserve">nergy projects </w:t>
      </w:r>
      <w:r w:rsidR="00FB73E1">
        <w:t xml:space="preserve">must </w:t>
      </w:r>
      <w:r w:rsidR="00B967FA">
        <w:t xml:space="preserve">have </w:t>
      </w:r>
      <w:r w:rsidR="00431A05">
        <w:t>free, prior, and informed consent from</w:t>
      </w:r>
      <w:r w:rsidR="00086676">
        <w:t xml:space="preserve"> Indigenous peoples</w:t>
      </w:r>
      <w:r w:rsidR="000E0F4B">
        <w:t xml:space="preserve"> as required by the United Nations Declaration on the Rights of Indigenous Peoples</w:t>
      </w:r>
      <w:r w:rsidR="00682C21">
        <w:t>.</w:t>
      </w:r>
    </w:p>
    <w:p w14:paraId="7A76EA09" w14:textId="77777777" w:rsidR="00487D04" w:rsidRPr="00487D04" w:rsidRDefault="00487D04" w:rsidP="00487D04">
      <w:pPr>
        <w:pStyle w:val="ListParagraph"/>
      </w:pPr>
    </w:p>
    <w:p w14:paraId="18065156" w14:textId="3174206A" w:rsidR="005A47B1" w:rsidRDefault="005A47B1" w:rsidP="004744E5">
      <w:pPr>
        <w:pStyle w:val="ListParagraph"/>
        <w:numPr>
          <w:ilvl w:val="0"/>
          <w:numId w:val="1"/>
        </w:numPr>
      </w:pPr>
      <w:r w:rsidRPr="00487D04">
        <w:rPr>
          <w:b/>
          <w:bCs/>
        </w:rPr>
        <w:t>Fully funded for reclamation</w:t>
      </w:r>
      <w:r>
        <w:t xml:space="preserve"> </w:t>
      </w:r>
      <w:r w:rsidRPr="005A47B1">
        <w:t xml:space="preserve">– </w:t>
      </w:r>
      <w:r w:rsidR="00132DC1">
        <w:t xml:space="preserve">Energy projects need to uphold the Polluter Pays Principle. </w:t>
      </w:r>
      <w:r w:rsidR="00913C84">
        <w:t>T</w:t>
      </w:r>
      <w:r w:rsidR="006155C2">
        <w:t xml:space="preserve">he responsible </w:t>
      </w:r>
      <w:r w:rsidR="001859D0">
        <w:t>regulator</w:t>
      </w:r>
      <w:r w:rsidR="006155C2">
        <w:t xml:space="preserve"> </w:t>
      </w:r>
      <w:r w:rsidR="002067A2">
        <w:t>must ensure that sufficient security deposit</w:t>
      </w:r>
      <w:r w:rsidR="00A71285">
        <w:t>s</w:t>
      </w:r>
      <w:r w:rsidR="002067A2">
        <w:t xml:space="preserve"> have been </w:t>
      </w:r>
      <w:r w:rsidR="00A71285">
        <w:t xml:space="preserve">collected by the proponent </w:t>
      </w:r>
      <w:r w:rsidR="002067A2">
        <w:t xml:space="preserve">to </w:t>
      </w:r>
      <w:r w:rsidR="00A71285">
        <w:t>fully cover the estimated cost of closure and reclamation</w:t>
      </w:r>
      <w:r w:rsidR="00913C84">
        <w:t xml:space="preserve"> before a project begins</w:t>
      </w:r>
      <w:r w:rsidR="00A71285">
        <w:t>.</w:t>
      </w:r>
      <w:r w:rsidR="00132DC1">
        <w:t xml:space="preserve"> </w:t>
      </w:r>
      <w:r w:rsidR="00F63E6C">
        <w:t xml:space="preserve">This </w:t>
      </w:r>
      <w:r w:rsidR="00F325CD">
        <w:t xml:space="preserve">helps to </w:t>
      </w:r>
      <w:r w:rsidR="00FB73E1">
        <w:t xml:space="preserve">reclaim </w:t>
      </w:r>
      <w:r w:rsidR="00F325CD">
        <w:t xml:space="preserve">inactive sites </w:t>
      </w:r>
      <w:r w:rsidR="004744E5">
        <w:t xml:space="preserve">and negative environmental impacts in a timely manner without public spending. Proponents </w:t>
      </w:r>
      <w:r w:rsidR="00913C84">
        <w:t xml:space="preserve">must be </w:t>
      </w:r>
      <w:r w:rsidR="004744E5">
        <w:t xml:space="preserve">responsible for restoring </w:t>
      </w:r>
      <w:r w:rsidR="003F1119">
        <w:t>land to an ecologically functional state</w:t>
      </w:r>
      <w:r w:rsidR="00E57917">
        <w:t xml:space="preserve"> (i.e., equivalent land capability) </w:t>
      </w:r>
      <w:r w:rsidR="002D6A56">
        <w:t xml:space="preserve">based on native species </w:t>
      </w:r>
      <w:r w:rsidR="00E57917">
        <w:t xml:space="preserve">within a </w:t>
      </w:r>
      <w:r w:rsidR="002A42B7">
        <w:t>specified time frame</w:t>
      </w:r>
      <w:r w:rsidR="005D3557">
        <w:t xml:space="preserve"> once a site is inactive. </w:t>
      </w:r>
    </w:p>
    <w:p w14:paraId="69772FA5" w14:textId="77777777" w:rsidR="005A47B1" w:rsidRDefault="005A47B1" w:rsidP="005A47B1">
      <w:pPr>
        <w:pStyle w:val="ListParagraph"/>
      </w:pPr>
    </w:p>
    <w:p w14:paraId="4593998C" w14:textId="7AAA7B27" w:rsidR="006C4C71" w:rsidRDefault="005A47B1" w:rsidP="004428AC">
      <w:pPr>
        <w:pStyle w:val="ListParagraph"/>
        <w:numPr>
          <w:ilvl w:val="0"/>
          <w:numId w:val="1"/>
        </w:numPr>
      </w:pPr>
      <w:r w:rsidRPr="005A47B1">
        <w:rPr>
          <w:b/>
          <w:bCs/>
        </w:rPr>
        <w:t>Subject to stringent regulatory requirements</w:t>
      </w:r>
      <w:r>
        <w:t xml:space="preserve"> – </w:t>
      </w:r>
      <w:r w:rsidR="00F9296D">
        <w:t xml:space="preserve">Energy </w:t>
      </w:r>
      <w:r w:rsidR="00D1325A">
        <w:t xml:space="preserve">development must occur within science-based ecological limits. </w:t>
      </w:r>
      <w:r w:rsidR="00C4565D">
        <w:t>All energy projects must be subject to robust environmental impact assessment</w:t>
      </w:r>
      <w:r w:rsidR="00D1325A">
        <w:t>s</w:t>
      </w:r>
      <w:r w:rsidR="000155A9">
        <w:t xml:space="preserve"> that consider</w:t>
      </w:r>
      <w:r w:rsidR="00FE03E6">
        <w:t xml:space="preserve"> </w:t>
      </w:r>
      <w:r w:rsidR="00F95ABE">
        <w:t>cumulative effects</w:t>
      </w:r>
      <w:r w:rsidR="00CC7AD0">
        <w:t xml:space="preserve"> and contribution to climate change.</w:t>
      </w:r>
      <w:r w:rsidR="00DA2F43">
        <w:t xml:space="preserve"> All projects should be subject to regular monitoring and </w:t>
      </w:r>
      <w:r w:rsidR="00F153A4">
        <w:t>reporting that is timely, transparent, and publicly accessible</w:t>
      </w:r>
      <w:r w:rsidR="00913C84">
        <w:t xml:space="preserve"> with</w:t>
      </w:r>
      <w:r w:rsidR="00744A3F">
        <w:t xml:space="preserve"> clearly established </w:t>
      </w:r>
      <w:r w:rsidR="007D44BD">
        <w:t>thresholds or triggers</w:t>
      </w:r>
      <w:r w:rsidR="00744A3F">
        <w:t xml:space="preserve"> </w:t>
      </w:r>
      <w:r w:rsidR="00053885">
        <w:t>to</w:t>
      </w:r>
      <w:r w:rsidR="003843BB">
        <w:t xml:space="preserve"> </w:t>
      </w:r>
      <w:r w:rsidR="007D44BD">
        <w:t>stop</w:t>
      </w:r>
      <w:r w:rsidR="00053885">
        <w:t xml:space="preserve"> </w:t>
      </w:r>
      <w:r w:rsidR="004428AC">
        <w:t>if/when environmental impacts reach unacceptable levels</w:t>
      </w:r>
      <w:r w:rsidR="00053885">
        <w:t>.</w:t>
      </w:r>
    </w:p>
    <w:p w14:paraId="5299B12E" w14:textId="77777777" w:rsidR="0042182C" w:rsidRDefault="0042182C" w:rsidP="00682C21">
      <w:pPr>
        <w:pStyle w:val="ListParagraph"/>
      </w:pPr>
    </w:p>
    <w:p w14:paraId="3DD545D3" w14:textId="373BF3F1" w:rsidR="009643FA" w:rsidRDefault="0042182C" w:rsidP="009643FA">
      <w:pPr>
        <w:pStyle w:val="ListParagraph"/>
        <w:numPr>
          <w:ilvl w:val="0"/>
          <w:numId w:val="1"/>
        </w:numPr>
      </w:pPr>
      <w:r w:rsidRPr="00682C21">
        <w:rPr>
          <w:b/>
          <w:bCs/>
        </w:rPr>
        <w:t xml:space="preserve">Government and Regulators </w:t>
      </w:r>
      <w:r w:rsidR="00194BDD" w:rsidRPr="00682C21">
        <w:rPr>
          <w:b/>
          <w:bCs/>
        </w:rPr>
        <w:t>need to take an active role</w:t>
      </w:r>
      <w:r w:rsidR="00194BDD">
        <w:t xml:space="preserve"> – </w:t>
      </w:r>
      <w:r w:rsidR="008A4F02">
        <w:t>Government an</w:t>
      </w:r>
      <w:r w:rsidR="00062307">
        <w:t>d</w:t>
      </w:r>
      <w:r w:rsidR="008A4F02">
        <w:t xml:space="preserve"> </w:t>
      </w:r>
      <w:r w:rsidR="00062307">
        <w:t>r</w:t>
      </w:r>
      <w:r w:rsidR="008A4F02">
        <w:t>egulators can no longer rely on industry to self-monitor and</w:t>
      </w:r>
      <w:r w:rsidR="00C45186">
        <w:t xml:space="preserve"> affect </w:t>
      </w:r>
      <w:r w:rsidR="00062307">
        <w:t>change</w:t>
      </w:r>
      <w:r w:rsidR="00913C84">
        <w:t xml:space="preserve"> and</w:t>
      </w:r>
      <w:r w:rsidR="00C45186">
        <w:t xml:space="preserve"> must take an active role to ensure climate change is </w:t>
      </w:r>
      <w:r w:rsidR="00062307">
        <w:t>being effectively addressed.</w:t>
      </w:r>
    </w:p>
    <w:p w14:paraId="0029ED28" w14:textId="77777777" w:rsidR="009643FA" w:rsidRPr="009643FA" w:rsidRDefault="009643FA" w:rsidP="00682C21">
      <w:pPr>
        <w:pStyle w:val="ListParagraph"/>
      </w:pPr>
    </w:p>
    <w:p w14:paraId="7ED56BD9" w14:textId="771247CC" w:rsidR="00B3576E" w:rsidRDefault="00B3576E" w:rsidP="00136F34">
      <w:r w:rsidRPr="00136F34">
        <w:rPr>
          <w:b/>
          <w:bCs/>
        </w:rPr>
        <w:t xml:space="preserve">NOTE: </w:t>
      </w:r>
      <w:r w:rsidR="00EE5144">
        <w:t xml:space="preserve">AWA emphasizes that </w:t>
      </w:r>
      <w:r w:rsidR="00E752BB">
        <w:t xml:space="preserve">the </w:t>
      </w:r>
      <w:r>
        <w:t xml:space="preserve">renewable energy </w:t>
      </w:r>
      <w:r w:rsidR="00E752BB">
        <w:t xml:space="preserve">transition </w:t>
      </w:r>
      <w:r>
        <w:t>cannot occur without accompanying societal changes</w:t>
      </w:r>
      <w:r w:rsidR="009A0DE5">
        <w:t xml:space="preserve">. </w:t>
      </w:r>
      <w:r w:rsidR="00EE5144">
        <w:t xml:space="preserve">Alberta will need to </w:t>
      </w:r>
      <w:r w:rsidR="001F6F45">
        <w:t xml:space="preserve">implement policies and regulations </w:t>
      </w:r>
      <w:r w:rsidR="00913C84">
        <w:t>to</w:t>
      </w:r>
      <w:r w:rsidR="001F6F45">
        <w:t xml:space="preserve"> help reduce the province’s overall energy consumption </w:t>
      </w:r>
      <w:r w:rsidR="00136F34">
        <w:t>while developing renewable energy</w:t>
      </w:r>
      <w:r w:rsidR="000B2191">
        <w:t xml:space="preserve"> capacity. </w:t>
      </w:r>
    </w:p>
    <w:p w14:paraId="1F0F8B47" w14:textId="77777777" w:rsidR="005F410F" w:rsidRDefault="005F410F" w:rsidP="00136F34"/>
    <w:p w14:paraId="45E372D8" w14:textId="77777777" w:rsidR="005F410F" w:rsidRDefault="005F410F" w:rsidP="00136F34"/>
    <w:tbl>
      <w:tblPr>
        <w:tblW w:w="3921" w:type="dxa"/>
        <w:jc w:val="center"/>
        <w:tblLook w:val="04A0" w:firstRow="1" w:lastRow="0" w:firstColumn="1" w:lastColumn="0" w:noHBand="0" w:noVBand="1"/>
      </w:tblPr>
      <w:tblGrid>
        <w:gridCol w:w="2032"/>
        <w:gridCol w:w="1889"/>
      </w:tblGrid>
      <w:tr w:rsidR="00A17225" w:rsidRPr="006168CE" w14:paraId="28117BC5" w14:textId="77777777" w:rsidTr="00682C21">
        <w:trPr>
          <w:trHeight w:val="289"/>
          <w:tblHeader/>
          <w:jc w:val="center"/>
        </w:trPr>
        <w:tc>
          <w:tcPr>
            <w:tcW w:w="2032" w:type="dxa"/>
            <w:tcBorders>
              <w:top w:val="single" w:sz="8" w:space="0" w:color="auto"/>
              <w:left w:val="single" w:sz="8" w:space="0" w:color="auto"/>
              <w:bottom w:val="single" w:sz="8" w:space="0" w:color="auto"/>
              <w:right w:val="single" w:sz="4" w:space="0" w:color="auto"/>
            </w:tcBorders>
            <w:shd w:val="clear" w:color="000000" w:fill="76B158"/>
            <w:noWrap/>
            <w:vAlign w:val="bottom"/>
            <w:hideMark/>
          </w:tcPr>
          <w:p w14:paraId="641F271B" w14:textId="77777777" w:rsidR="00A17225" w:rsidRPr="006168CE" w:rsidRDefault="00A17225" w:rsidP="00990BE7">
            <w:pPr>
              <w:spacing w:after="0" w:line="240" w:lineRule="auto"/>
              <w:jc w:val="center"/>
              <w:rPr>
                <w:rFonts w:ascii="Aptos Display" w:eastAsia="Times New Roman" w:hAnsi="Aptos Display" w:cs="Times New Roman"/>
                <w:b/>
                <w:bCs/>
                <w:color w:val="FFFFFF"/>
                <w:kern w:val="0"/>
                <w:sz w:val="24"/>
                <w:szCs w:val="24"/>
                <w:lang w:eastAsia="en-CA"/>
                <w14:ligatures w14:val="none"/>
              </w:rPr>
            </w:pPr>
            <w:r w:rsidRPr="006168CE">
              <w:rPr>
                <w:rFonts w:ascii="Aptos Display" w:eastAsia="Times New Roman" w:hAnsi="Aptos Display" w:cs="Times New Roman"/>
                <w:b/>
                <w:bCs/>
                <w:color w:val="FFFFFF"/>
                <w:kern w:val="0"/>
                <w:sz w:val="24"/>
                <w:szCs w:val="24"/>
                <w:lang w:eastAsia="en-CA"/>
                <w14:ligatures w14:val="none"/>
              </w:rPr>
              <w:lastRenderedPageBreak/>
              <w:t>Energy Type</w:t>
            </w:r>
          </w:p>
        </w:tc>
        <w:tc>
          <w:tcPr>
            <w:tcW w:w="1889" w:type="dxa"/>
            <w:tcBorders>
              <w:top w:val="single" w:sz="4" w:space="0" w:color="auto"/>
              <w:left w:val="single" w:sz="4" w:space="0" w:color="auto"/>
              <w:bottom w:val="single" w:sz="8" w:space="0" w:color="auto"/>
              <w:right w:val="single" w:sz="4" w:space="0" w:color="auto"/>
            </w:tcBorders>
            <w:shd w:val="clear" w:color="000000" w:fill="76B158"/>
            <w:noWrap/>
            <w:vAlign w:val="bottom"/>
            <w:hideMark/>
          </w:tcPr>
          <w:p w14:paraId="1A2C143F" w14:textId="77777777" w:rsidR="00A17225" w:rsidRPr="006168CE" w:rsidRDefault="00A17225" w:rsidP="00990BE7">
            <w:pPr>
              <w:spacing w:after="0" w:line="240" w:lineRule="auto"/>
              <w:jc w:val="center"/>
              <w:rPr>
                <w:rFonts w:ascii="Aptos Display" w:eastAsia="Times New Roman" w:hAnsi="Aptos Display" w:cs="Times New Roman"/>
                <w:b/>
                <w:bCs/>
                <w:color w:val="FFFFFF"/>
                <w:kern w:val="0"/>
                <w:sz w:val="24"/>
                <w:szCs w:val="24"/>
                <w:lang w:eastAsia="en-CA"/>
                <w14:ligatures w14:val="none"/>
              </w:rPr>
            </w:pPr>
            <w:r w:rsidRPr="006168CE">
              <w:rPr>
                <w:rFonts w:ascii="Aptos Display" w:eastAsia="Times New Roman" w:hAnsi="Aptos Display" w:cs="Times New Roman"/>
                <w:b/>
                <w:bCs/>
                <w:color w:val="FFFFFF"/>
                <w:kern w:val="0"/>
                <w:sz w:val="24"/>
                <w:szCs w:val="24"/>
                <w:lang w:eastAsia="en-CA"/>
                <w14:ligatures w14:val="none"/>
              </w:rPr>
              <w:t>AWA Position</w:t>
            </w:r>
          </w:p>
        </w:tc>
      </w:tr>
      <w:tr w:rsidR="00A17225" w:rsidRPr="006168CE" w14:paraId="6EE911EE" w14:textId="77777777" w:rsidTr="00336CBE">
        <w:trPr>
          <w:trHeight w:val="232"/>
          <w:jc w:val="center"/>
        </w:trPr>
        <w:tc>
          <w:tcPr>
            <w:tcW w:w="2032" w:type="dxa"/>
            <w:tcBorders>
              <w:top w:val="nil"/>
              <w:left w:val="single" w:sz="8" w:space="0" w:color="auto"/>
              <w:bottom w:val="nil"/>
              <w:right w:val="single" w:sz="4" w:space="0" w:color="auto"/>
            </w:tcBorders>
            <w:shd w:val="clear" w:color="auto" w:fill="F6C5AC" w:themeFill="accent2" w:themeFillTint="66"/>
            <w:noWrap/>
            <w:vAlign w:val="bottom"/>
            <w:hideMark/>
          </w:tcPr>
          <w:p w14:paraId="41C607F6"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Bioenergy</w:t>
            </w:r>
          </w:p>
        </w:tc>
        <w:tc>
          <w:tcPr>
            <w:tcW w:w="1889" w:type="dxa"/>
            <w:tcBorders>
              <w:top w:val="nil"/>
              <w:left w:val="single" w:sz="4" w:space="0" w:color="auto"/>
              <w:bottom w:val="nil"/>
              <w:right w:val="single" w:sz="4" w:space="0" w:color="auto"/>
            </w:tcBorders>
            <w:shd w:val="clear" w:color="auto" w:fill="F6C5AC" w:themeFill="accent2" w:themeFillTint="66"/>
            <w:noWrap/>
            <w:vAlign w:val="bottom"/>
            <w:hideMark/>
          </w:tcPr>
          <w:p w14:paraId="652C4893" w14:textId="7644BCE8" w:rsidR="00A17225" w:rsidRPr="006168CE" w:rsidRDefault="007760E0"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No</w:t>
            </w:r>
          </w:p>
        </w:tc>
      </w:tr>
      <w:tr w:rsidR="00A17225" w:rsidRPr="006168CE" w14:paraId="14A6F127" w14:textId="77777777" w:rsidTr="00336CBE">
        <w:trPr>
          <w:trHeight w:val="232"/>
          <w:jc w:val="center"/>
        </w:trPr>
        <w:tc>
          <w:tcPr>
            <w:tcW w:w="2032" w:type="dxa"/>
            <w:tcBorders>
              <w:top w:val="nil"/>
              <w:left w:val="single" w:sz="8" w:space="0" w:color="auto"/>
              <w:bottom w:val="nil"/>
              <w:right w:val="single" w:sz="4" w:space="0" w:color="auto"/>
            </w:tcBorders>
            <w:shd w:val="clear" w:color="auto" w:fill="F6C5AC" w:themeFill="accent2" w:themeFillTint="66"/>
            <w:noWrap/>
            <w:vAlign w:val="bottom"/>
            <w:hideMark/>
          </w:tcPr>
          <w:p w14:paraId="7E61D231"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Carbon Capture</w:t>
            </w:r>
          </w:p>
        </w:tc>
        <w:tc>
          <w:tcPr>
            <w:tcW w:w="1889" w:type="dxa"/>
            <w:tcBorders>
              <w:top w:val="nil"/>
              <w:left w:val="single" w:sz="4" w:space="0" w:color="auto"/>
              <w:bottom w:val="nil"/>
              <w:right w:val="single" w:sz="4" w:space="0" w:color="auto"/>
            </w:tcBorders>
            <w:shd w:val="clear" w:color="auto" w:fill="F6C5AC" w:themeFill="accent2" w:themeFillTint="66"/>
            <w:noWrap/>
            <w:vAlign w:val="bottom"/>
            <w:hideMark/>
          </w:tcPr>
          <w:p w14:paraId="09C99006" w14:textId="1296ECC5" w:rsidR="00A17225" w:rsidRPr="006168CE" w:rsidRDefault="003A0044"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No</w:t>
            </w:r>
          </w:p>
        </w:tc>
      </w:tr>
      <w:tr w:rsidR="00A17225" w:rsidRPr="006168CE" w14:paraId="63426028" w14:textId="77777777" w:rsidTr="00336CBE">
        <w:trPr>
          <w:trHeight w:val="232"/>
          <w:jc w:val="center"/>
        </w:trPr>
        <w:tc>
          <w:tcPr>
            <w:tcW w:w="2032" w:type="dxa"/>
            <w:tcBorders>
              <w:top w:val="nil"/>
              <w:left w:val="single" w:sz="8" w:space="0" w:color="auto"/>
              <w:bottom w:val="nil"/>
              <w:right w:val="single" w:sz="4" w:space="0" w:color="auto"/>
            </w:tcBorders>
            <w:shd w:val="clear" w:color="auto" w:fill="F6C5AC" w:themeFill="accent2" w:themeFillTint="66"/>
            <w:noWrap/>
            <w:vAlign w:val="bottom"/>
            <w:hideMark/>
          </w:tcPr>
          <w:p w14:paraId="637E16C5"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Coal</w:t>
            </w:r>
          </w:p>
        </w:tc>
        <w:tc>
          <w:tcPr>
            <w:tcW w:w="1889" w:type="dxa"/>
            <w:tcBorders>
              <w:top w:val="nil"/>
              <w:left w:val="single" w:sz="4" w:space="0" w:color="auto"/>
              <w:bottom w:val="nil"/>
              <w:right w:val="single" w:sz="4" w:space="0" w:color="auto"/>
            </w:tcBorders>
            <w:shd w:val="clear" w:color="auto" w:fill="F6C5AC" w:themeFill="accent2" w:themeFillTint="66"/>
            <w:noWrap/>
            <w:vAlign w:val="bottom"/>
            <w:hideMark/>
          </w:tcPr>
          <w:p w14:paraId="773C66D8" w14:textId="0CCEC143" w:rsidR="00A17225" w:rsidRPr="006168CE" w:rsidRDefault="003A0044"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No</w:t>
            </w:r>
          </w:p>
        </w:tc>
      </w:tr>
      <w:tr w:rsidR="009643FA" w:rsidRPr="006168CE" w14:paraId="70E0092A" w14:textId="77777777" w:rsidTr="00336CBE">
        <w:trPr>
          <w:trHeight w:val="232"/>
          <w:jc w:val="center"/>
        </w:trPr>
        <w:tc>
          <w:tcPr>
            <w:tcW w:w="2032" w:type="dxa"/>
            <w:tcBorders>
              <w:top w:val="nil"/>
              <w:left w:val="single" w:sz="8" w:space="0" w:color="auto"/>
              <w:bottom w:val="nil"/>
              <w:right w:val="single" w:sz="4" w:space="0" w:color="auto"/>
            </w:tcBorders>
            <w:shd w:val="clear" w:color="auto" w:fill="D9F2D0" w:themeFill="accent6" w:themeFillTint="33"/>
            <w:noWrap/>
            <w:vAlign w:val="bottom"/>
          </w:tcPr>
          <w:p w14:paraId="13F68657" w14:textId="4B2436D1" w:rsidR="009643FA" w:rsidRPr="006168CE" w:rsidRDefault="009643FA" w:rsidP="00990BE7">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Energy Storage</w:t>
            </w:r>
          </w:p>
        </w:tc>
        <w:tc>
          <w:tcPr>
            <w:tcW w:w="1889" w:type="dxa"/>
            <w:tcBorders>
              <w:top w:val="nil"/>
              <w:left w:val="single" w:sz="4" w:space="0" w:color="auto"/>
              <w:bottom w:val="nil"/>
              <w:right w:val="single" w:sz="4" w:space="0" w:color="auto"/>
            </w:tcBorders>
            <w:shd w:val="clear" w:color="auto" w:fill="D9F2D0" w:themeFill="accent6" w:themeFillTint="33"/>
            <w:noWrap/>
            <w:vAlign w:val="bottom"/>
          </w:tcPr>
          <w:p w14:paraId="738C853A" w14:textId="536174AB" w:rsidR="009643FA" w:rsidRDefault="009643FA"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Yes</w:t>
            </w:r>
          </w:p>
        </w:tc>
      </w:tr>
      <w:tr w:rsidR="00A17225" w:rsidRPr="006168CE" w14:paraId="265B6919" w14:textId="77777777" w:rsidTr="00336CBE">
        <w:trPr>
          <w:trHeight w:val="232"/>
          <w:jc w:val="center"/>
        </w:trPr>
        <w:tc>
          <w:tcPr>
            <w:tcW w:w="2032" w:type="dxa"/>
            <w:tcBorders>
              <w:top w:val="nil"/>
              <w:left w:val="single" w:sz="8" w:space="0" w:color="auto"/>
              <w:bottom w:val="nil"/>
              <w:right w:val="single" w:sz="4" w:space="0" w:color="auto"/>
            </w:tcBorders>
            <w:shd w:val="clear" w:color="auto" w:fill="D9F2D0" w:themeFill="accent6" w:themeFillTint="33"/>
            <w:noWrap/>
            <w:vAlign w:val="bottom"/>
            <w:hideMark/>
          </w:tcPr>
          <w:p w14:paraId="046FC9C2"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Geothermal</w:t>
            </w:r>
          </w:p>
        </w:tc>
        <w:tc>
          <w:tcPr>
            <w:tcW w:w="1889" w:type="dxa"/>
            <w:tcBorders>
              <w:top w:val="nil"/>
              <w:left w:val="single" w:sz="4" w:space="0" w:color="auto"/>
              <w:bottom w:val="nil"/>
              <w:right w:val="single" w:sz="4" w:space="0" w:color="auto"/>
            </w:tcBorders>
            <w:shd w:val="clear" w:color="auto" w:fill="D9F2D0" w:themeFill="accent6" w:themeFillTint="33"/>
            <w:noWrap/>
            <w:vAlign w:val="bottom"/>
            <w:hideMark/>
          </w:tcPr>
          <w:p w14:paraId="4F9BC82E" w14:textId="1D366ACE" w:rsidR="00A17225" w:rsidRPr="006168CE" w:rsidRDefault="007760E0"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Yes</w:t>
            </w:r>
          </w:p>
        </w:tc>
      </w:tr>
      <w:tr w:rsidR="00A17225" w:rsidRPr="006168CE" w14:paraId="106E0B40" w14:textId="77777777" w:rsidTr="00336CBE">
        <w:trPr>
          <w:trHeight w:val="232"/>
          <w:jc w:val="center"/>
        </w:trPr>
        <w:tc>
          <w:tcPr>
            <w:tcW w:w="2032" w:type="dxa"/>
            <w:tcBorders>
              <w:top w:val="nil"/>
              <w:left w:val="single" w:sz="8" w:space="0" w:color="auto"/>
              <w:bottom w:val="nil"/>
              <w:right w:val="single" w:sz="4" w:space="0" w:color="auto"/>
            </w:tcBorders>
            <w:shd w:val="clear" w:color="auto" w:fill="F5F7AB"/>
            <w:noWrap/>
            <w:vAlign w:val="bottom"/>
            <w:hideMark/>
          </w:tcPr>
          <w:p w14:paraId="1BDBBC80"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Hydroelectric</w:t>
            </w:r>
          </w:p>
        </w:tc>
        <w:tc>
          <w:tcPr>
            <w:tcW w:w="1889" w:type="dxa"/>
            <w:tcBorders>
              <w:top w:val="nil"/>
              <w:left w:val="single" w:sz="4" w:space="0" w:color="auto"/>
              <w:bottom w:val="nil"/>
              <w:right w:val="single" w:sz="4" w:space="0" w:color="auto"/>
            </w:tcBorders>
            <w:shd w:val="clear" w:color="auto" w:fill="F5F7AB"/>
            <w:noWrap/>
            <w:vAlign w:val="bottom"/>
            <w:hideMark/>
          </w:tcPr>
          <w:p w14:paraId="57DB3ADD" w14:textId="798BDA9F" w:rsidR="00A17225" w:rsidRPr="006168CE" w:rsidRDefault="009643FA"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Case-by-Case</w:t>
            </w:r>
          </w:p>
        </w:tc>
      </w:tr>
      <w:tr w:rsidR="00A17225" w:rsidRPr="006168CE" w14:paraId="2A152145" w14:textId="77777777" w:rsidTr="00484F21">
        <w:trPr>
          <w:trHeight w:val="232"/>
          <w:jc w:val="center"/>
        </w:trPr>
        <w:tc>
          <w:tcPr>
            <w:tcW w:w="2032" w:type="dxa"/>
            <w:tcBorders>
              <w:top w:val="nil"/>
              <w:left w:val="single" w:sz="8" w:space="0" w:color="auto"/>
              <w:bottom w:val="nil"/>
              <w:right w:val="single" w:sz="4" w:space="0" w:color="auto"/>
            </w:tcBorders>
            <w:shd w:val="clear" w:color="auto" w:fill="D9F2D0" w:themeFill="accent6" w:themeFillTint="33"/>
            <w:noWrap/>
            <w:vAlign w:val="bottom"/>
            <w:hideMark/>
          </w:tcPr>
          <w:p w14:paraId="68B25D5B" w14:textId="4FF21FC6" w:rsidR="00A17225" w:rsidRPr="006168CE" w:rsidRDefault="009643FA" w:rsidP="00990BE7">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 xml:space="preserve">Green </w:t>
            </w:r>
            <w:r w:rsidR="00A17225" w:rsidRPr="006168CE">
              <w:rPr>
                <w:rFonts w:ascii="Aptos Narrow" w:eastAsia="Times New Roman" w:hAnsi="Aptos Narrow" w:cs="Times New Roman"/>
                <w:color w:val="000000"/>
                <w:kern w:val="0"/>
                <w:lang w:eastAsia="en-CA"/>
                <w14:ligatures w14:val="none"/>
              </w:rPr>
              <w:t>Hydrogen</w:t>
            </w:r>
          </w:p>
        </w:tc>
        <w:tc>
          <w:tcPr>
            <w:tcW w:w="1889" w:type="dxa"/>
            <w:tcBorders>
              <w:top w:val="nil"/>
              <w:left w:val="single" w:sz="4" w:space="0" w:color="auto"/>
              <w:bottom w:val="nil"/>
              <w:right w:val="single" w:sz="4" w:space="0" w:color="auto"/>
            </w:tcBorders>
            <w:shd w:val="clear" w:color="auto" w:fill="D9F2D0" w:themeFill="accent6" w:themeFillTint="33"/>
            <w:noWrap/>
            <w:vAlign w:val="bottom"/>
            <w:hideMark/>
          </w:tcPr>
          <w:p w14:paraId="1DB4545C" w14:textId="144808AA" w:rsidR="00A17225" w:rsidRPr="006168CE" w:rsidRDefault="009643FA" w:rsidP="007760E0">
            <w:pPr>
              <w:spacing w:after="0" w:line="240" w:lineRule="auto"/>
              <w:jc w:val="center"/>
              <w:rPr>
                <w:rFonts w:ascii="Aptos Narrow" w:eastAsia="Times New Roman" w:hAnsi="Aptos Narrow" w:cs="Times New Roman"/>
                <w:color w:val="000000"/>
                <w:kern w:val="0"/>
                <w:lang w:eastAsia="en-CA"/>
                <w14:ligatures w14:val="none"/>
              </w:rPr>
            </w:pPr>
            <w:r>
              <w:rPr>
                <w:rFonts w:ascii="Aptos Narrow" w:eastAsia="Times New Roman" w:hAnsi="Aptos Narrow" w:cs="Times New Roman"/>
                <w:color w:val="000000"/>
                <w:kern w:val="0"/>
                <w:lang w:eastAsia="en-CA"/>
                <w14:ligatures w14:val="none"/>
              </w:rPr>
              <w:t>Yes</w:t>
            </w:r>
          </w:p>
        </w:tc>
      </w:tr>
      <w:tr w:rsidR="00A17225" w:rsidRPr="006168CE" w14:paraId="27A347B0" w14:textId="77777777" w:rsidTr="00336CBE">
        <w:trPr>
          <w:trHeight w:val="232"/>
          <w:jc w:val="center"/>
        </w:trPr>
        <w:tc>
          <w:tcPr>
            <w:tcW w:w="2032" w:type="dxa"/>
            <w:tcBorders>
              <w:top w:val="nil"/>
              <w:left w:val="single" w:sz="8" w:space="0" w:color="auto"/>
              <w:bottom w:val="nil"/>
              <w:right w:val="single" w:sz="4" w:space="0" w:color="auto"/>
            </w:tcBorders>
            <w:shd w:val="clear" w:color="auto" w:fill="F6C5AC" w:themeFill="accent2" w:themeFillTint="66"/>
            <w:noWrap/>
            <w:vAlign w:val="bottom"/>
            <w:hideMark/>
          </w:tcPr>
          <w:p w14:paraId="07AA115D"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Nuclear</w:t>
            </w:r>
          </w:p>
        </w:tc>
        <w:tc>
          <w:tcPr>
            <w:tcW w:w="1889" w:type="dxa"/>
            <w:tcBorders>
              <w:top w:val="nil"/>
              <w:left w:val="single" w:sz="4" w:space="0" w:color="auto"/>
              <w:bottom w:val="nil"/>
              <w:right w:val="single" w:sz="4" w:space="0" w:color="auto"/>
            </w:tcBorders>
            <w:shd w:val="clear" w:color="auto" w:fill="F6C5AC" w:themeFill="accent2" w:themeFillTint="66"/>
            <w:noWrap/>
            <w:vAlign w:val="bottom"/>
            <w:hideMark/>
          </w:tcPr>
          <w:p w14:paraId="2268C03A" w14:textId="77777777" w:rsidR="00A17225" w:rsidRPr="006168CE" w:rsidRDefault="00A17225" w:rsidP="007760E0">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No</w:t>
            </w:r>
          </w:p>
        </w:tc>
      </w:tr>
      <w:tr w:rsidR="00A17225" w:rsidRPr="006168CE" w14:paraId="4B1D416E" w14:textId="77777777" w:rsidTr="00336CBE">
        <w:trPr>
          <w:trHeight w:val="232"/>
          <w:jc w:val="center"/>
        </w:trPr>
        <w:tc>
          <w:tcPr>
            <w:tcW w:w="2032" w:type="dxa"/>
            <w:tcBorders>
              <w:top w:val="nil"/>
              <w:left w:val="single" w:sz="8" w:space="0" w:color="auto"/>
              <w:bottom w:val="nil"/>
              <w:right w:val="single" w:sz="4" w:space="0" w:color="auto"/>
            </w:tcBorders>
            <w:shd w:val="clear" w:color="auto" w:fill="F6C5AC" w:themeFill="accent2" w:themeFillTint="66"/>
            <w:noWrap/>
            <w:vAlign w:val="bottom"/>
            <w:hideMark/>
          </w:tcPr>
          <w:p w14:paraId="3E0203E1"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Oil and Gas</w:t>
            </w:r>
          </w:p>
        </w:tc>
        <w:tc>
          <w:tcPr>
            <w:tcW w:w="1889" w:type="dxa"/>
            <w:tcBorders>
              <w:top w:val="nil"/>
              <w:left w:val="single" w:sz="4" w:space="0" w:color="auto"/>
              <w:bottom w:val="nil"/>
              <w:right w:val="single" w:sz="4" w:space="0" w:color="auto"/>
            </w:tcBorders>
            <w:shd w:val="clear" w:color="auto" w:fill="F6C5AC" w:themeFill="accent2" w:themeFillTint="66"/>
            <w:noWrap/>
            <w:vAlign w:val="bottom"/>
            <w:hideMark/>
          </w:tcPr>
          <w:p w14:paraId="6E5B9984" w14:textId="77777777" w:rsidR="00A17225" w:rsidRPr="006168CE" w:rsidRDefault="00A17225" w:rsidP="007760E0">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No</w:t>
            </w:r>
          </w:p>
        </w:tc>
      </w:tr>
      <w:tr w:rsidR="00A17225" w:rsidRPr="006168CE" w14:paraId="1079CC40" w14:textId="77777777" w:rsidTr="00336CBE">
        <w:trPr>
          <w:trHeight w:val="232"/>
          <w:jc w:val="center"/>
        </w:trPr>
        <w:tc>
          <w:tcPr>
            <w:tcW w:w="2032" w:type="dxa"/>
            <w:tcBorders>
              <w:top w:val="nil"/>
              <w:left w:val="single" w:sz="8" w:space="0" w:color="auto"/>
              <w:bottom w:val="nil"/>
              <w:right w:val="single" w:sz="4" w:space="0" w:color="auto"/>
            </w:tcBorders>
            <w:shd w:val="clear" w:color="auto" w:fill="D9F2D0" w:themeFill="accent6" w:themeFillTint="33"/>
            <w:noWrap/>
            <w:vAlign w:val="bottom"/>
            <w:hideMark/>
          </w:tcPr>
          <w:p w14:paraId="3C640921"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Solar</w:t>
            </w:r>
          </w:p>
        </w:tc>
        <w:tc>
          <w:tcPr>
            <w:tcW w:w="1889" w:type="dxa"/>
            <w:tcBorders>
              <w:top w:val="nil"/>
              <w:left w:val="single" w:sz="4" w:space="0" w:color="auto"/>
              <w:bottom w:val="nil"/>
              <w:right w:val="single" w:sz="4" w:space="0" w:color="auto"/>
            </w:tcBorders>
            <w:shd w:val="clear" w:color="auto" w:fill="D9F2D0" w:themeFill="accent6" w:themeFillTint="33"/>
            <w:noWrap/>
            <w:vAlign w:val="bottom"/>
            <w:hideMark/>
          </w:tcPr>
          <w:p w14:paraId="64BF0D9A" w14:textId="77777777" w:rsidR="00A17225" w:rsidRPr="006168CE" w:rsidRDefault="00A17225" w:rsidP="007760E0">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Yes</w:t>
            </w:r>
          </w:p>
        </w:tc>
      </w:tr>
      <w:tr w:rsidR="00A17225" w:rsidRPr="006168CE" w14:paraId="07922AEA" w14:textId="77777777" w:rsidTr="00336CBE">
        <w:trPr>
          <w:trHeight w:val="243"/>
          <w:jc w:val="center"/>
        </w:trPr>
        <w:tc>
          <w:tcPr>
            <w:tcW w:w="2032" w:type="dxa"/>
            <w:tcBorders>
              <w:top w:val="nil"/>
              <w:left w:val="single" w:sz="8" w:space="0" w:color="auto"/>
              <w:bottom w:val="single" w:sz="8" w:space="0" w:color="auto"/>
              <w:right w:val="single" w:sz="4" w:space="0" w:color="auto"/>
            </w:tcBorders>
            <w:shd w:val="clear" w:color="auto" w:fill="D9F2D0" w:themeFill="accent6" w:themeFillTint="33"/>
            <w:noWrap/>
            <w:vAlign w:val="bottom"/>
            <w:hideMark/>
          </w:tcPr>
          <w:p w14:paraId="2B9D7E08" w14:textId="77777777" w:rsidR="00A17225" w:rsidRPr="006168CE" w:rsidRDefault="00A17225" w:rsidP="00990BE7">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Wind</w:t>
            </w:r>
          </w:p>
        </w:tc>
        <w:tc>
          <w:tcPr>
            <w:tcW w:w="1889" w:type="dxa"/>
            <w:tcBorders>
              <w:top w:val="nil"/>
              <w:left w:val="single" w:sz="4" w:space="0" w:color="auto"/>
              <w:bottom w:val="single" w:sz="4" w:space="0" w:color="auto"/>
              <w:right w:val="single" w:sz="4" w:space="0" w:color="auto"/>
            </w:tcBorders>
            <w:shd w:val="clear" w:color="auto" w:fill="D9F2D0" w:themeFill="accent6" w:themeFillTint="33"/>
            <w:noWrap/>
            <w:vAlign w:val="bottom"/>
            <w:hideMark/>
          </w:tcPr>
          <w:p w14:paraId="53F8B705" w14:textId="77777777" w:rsidR="00A17225" w:rsidRPr="006168CE" w:rsidRDefault="00A17225" w:rsidP="007760E0">
            <w:pPr>
              <w:spacing w:after="0" w:line="240" w:lineRule="auto"/>
              <w:jc w:val="center"/>
              <w:rPr>
                <w:rFonts w:ascii="Aptos Narrow" w:eastAsia="Times New Roman" w:hAnsi="Aptos Narrow" w:cs="Times New Roman"/>
                <w:color w:val="000000"/>
                <w:kern w:val="0"/>
                <w:lang w:eastAsia="en-CA"/>
                <w14:ligatures w14:val="none"/>
              </w:rPr>
            </w:pPr>
            <w:r w:rsidRPr="006168CE">
              <w:rPr>
                <w:rFonts w:ascii="Aptos Narrow" w:eastAsia="Times New Roman" w:hAnsi="Aptos Narrow" w:cs="Times New Roman"/>
                <w:color w:val="000000"/>
                <w:kern w:val="0"/>
                <w:lang w:eastAsia="en-CA"/>
                <w14:ligatures w14:val="none"/>
              </w:rPr>
              <w:t>Yes</w:t>
            </w:r>
          </w:p>
        </w:tc>
      </w:tr>
    </w:tbl>
    <w:p w14:paraId="3C1B0A1F" w14:textId="0BB40050" w:rsidR="00583748" w:rsidRDefault="000D3183" w:rsidP="00622885">
      <w:pPr>
        <w:pStyle w:val="Heading1"/>
      </w:pPr>
      <w:r>
        <w:t>Specific Position Statements</w:t>
      </w:r>
    </w:p>
    <w:p w14:paraId="5E874CAC" w14:textId="4757AA8C" w:rsidR="00FD0E6D" w:rsidRDefault="00D62CB7" w:rsidP="00622885">
      <w:pPr>
        <w:pStyle w:val="Heading2"/>
      </w:pPr>
      <w:r>
        <w:t>Bioenergy</w:t>
      </w:r>
    </w:p>
    <w:p w14:paraId="7F888AC5" w14:textId="0025A273" w:rsidR="00BE5545" w:rsidRDefault="00C22130" w:rsidP="00FD0E6D">
      <w:pPr>
        <w:rPr>
          <w:b/>
          <w:bCs/>
        </w:rPr>
      </w:pPr>
      <w:r>
        <w:rPr>
          <w:b/>
          <w:bCs/>
        </w:rPr>
        <w:t xml:space="preserve">No – with exceptions. </w:t>
      </w:r>
    </w:p>
    <w:p w14:paraId="62452909" w14:textId="2F86AF4C" w:rsidR="00EA403A" w:rsidRDefault="00772AAF" w:rsidP="00FD0E6D">
      <w:r>
        <w:t xml:space="preserve">AWA </w:t>
      </w:r>
      <w:r w:rsidR="007F15C6">
        <w:t xml:space="preserve">does not support the development of bioenergy. </w:t>
      </w:r>
      <w:r w:rsidR="00C22130">
        <w:t xml:space="preserve">Bioenergy </w:t>
      </w:r>
      <w:r w:rsidR="007E2A1E">
        <w:t>requires</w:t>
      </w:r>
      <w:r w:rsidR="00C22130">
        <w:t xml:space="preserve"> massive amounts of land and water to grow the crops </w:t>
      </w:r>
      <w:r>
        <w:t>needed for fuel</w:t>
      </w:r>
      <w:r w:rsidR="007F15C6">
        <w:t>, which can result in the loss of wildlife habitat</w:t>
      </w:r>
      <w:r w:rsidR="00062F2B">
        <w:t xml:space="preserve">. </w:t>
      </w:r>
      <w:r w:rsidR="00EA403A">
        <w:t xml:space="preserve">Less harmful bioenergy could potentially use organic waste as fuel and </w:t>
      </w:r>
      <w:r w:rsidR="001553BC">
        <w:t>may be</w:t>
      </w:r>
      <w:r w:rsidR="00913C84">
        <w:t xml:space="preserve"> </w:t>
      </w:r>
      <w:r w:rsidR="000E0F4B">
        <w:t>considered in certain circumstances.</w:t>
      </w:r>
    </w:p>
    <w:p w14:paraId="74AC50ED" w14:textId="566680EB" w:rsidR="00D62CB7" w:rsidRDefault="00D62CB7" w:rsidP="00622885">
      <w:pPr>
        <w:pStyle w:val="Heading2"/>
      </w:pPr>
      <w:r>
        <w:t>Carbon Capture and Storage</w:t>
      </w:r>
      <w:r w:rsidR="00812F72">
        <w:t xml:space="preserve"> (CCS or CCUS)</w:t>
      </w:r>
    </w:p>
    <w:p w14:paraId="46CC21BD" w14:textId="5B1C45CB" w:rsidR="00FB25EE" w:rsidRPr="007E5A51" w:rsidRDefault="00FB25EE" w:rsidP="00FB25EE">
      <w:pPr>
        <w:rPr>
          <w:b/>
          <w:bCs/>
        </w:rPr>
      </w:pPr>
      <w:r w:rsidRPr="007E5A51">
        <w:rPr>
          <w:b/>
          <w:bCs/>
        </w:rPr>
        <w:t>No</w:t>
      </w:r>
      <w:r w:rsidR="00417A4C">
        <w:rPr>
          <w:b/>
          <w:bCs/>
        </w:rPr>
        <w:t>.</w:t>
      </w:r>
    </w:p>
    <w:p w14:paraId="654725AA" w14:textId="66E754B5" w:rsidR="00915CDB" w:rsidRPr="00FB25EE" w:rsidRDefault="00812F72" w:rsidP="00FB25EE">
      <w:r>
        <w:t xml:space="preserve">AWA does not support the development of CCUS in Alberta, especially if CCUS </w:t>
      </w:r>
      <w:r w:rsidR="00FC5E7C">
        <w:t>is implemented to enable continued or expanded</w:t>
      </w:r>
      <w:r w:rsidR="00337687">
        <w:t xml:space="preserve"> </w:t>
      </w:r>
      <w:r w:rsidR="00FC5E7C">
        <w:t>fossil fuel production</w:t>
      </w:r>
      <w:r w:rsidR="00337687">
        <w:t>,</w:t>
      </w:r>
      <w:r w:rsidR="00AF486D">
        <w:t xml:space="preserve"> or enhanced oil recovery.</w:t>
      </w:r>
    </w:p>
    <w:p w14:paraId="4A171773" w14:textId="77777777" w:rsidR="00D62CB7" w:rsidRDefault="00D62CB7" w:rsidP="00622885">
      <w:pPr>
        <w:pStyle w:val="Heading2"/>
      </w:pPr>
      <w:r>
        <w:t>Coal</w:t>
      </w:r>
    </w:p>
    <w:p w14:paraId="4A645D6E" w14:textId="0C32E88F" w:rsidR="00FB25EE" w:rsidRPr="007E5A51" w:rsidRDefault="00FB25EE" w:rsidP="00FB25EE">
      <w:pPr>
        <w:rPr>
          <w:b/>
          <w:bCs/>
        </w:rPr>
      </w:pPr>
      <w:r w:rsidRPr="007E5A51">
        <w:rPr>
          <w:b/>
          <w:bCs/>
        </w:rPr>
        <w:t xml:space="preserve">No. </w:t>
      </w:r>
    </w:p>
    <w:p w14:paraId="7C86BCB2" w14:textId="1E19315E" w:rsidR="00586553" w:rsidRPr="00FB25EE" w:rsidRDefault="00586553" w:rsidP="00FB25EE">
      <w:r>
        <w:t>AWA does not support any further coal development</w:t>
      </w:r>
      <w:r w:rsidR="00E4273D">
        <w:t xml:space="preserve"> </w:t>
      </w:r>
      <w:r>
        <w:t xml:space="preserve">in Alberta. </w:t>
      </w:r>
      <w:r w:rsidR="00DD5FFA" w:rsidRPr="00DD5FFA">
        <w:t xml:space="preserve">Coal is the largest single contributor to global carbon emissions </w:t>
      </w:r>
      <w:r w:rsidR="00CF4167">
        <w:t xml:space="preserve">(by fuel type) </w:t>
      </w:r>
      <w:r w:rsidR="00DD5FFA" w:rsidRPr="00DD5FFA">
        <w:t xml:space="preserve">and a main driver of climate change. </w:t>
      </w:r>
      <w:r w:rsidR="00921DA6">
        <w:t xml:space="preserve">AWA supports the phase out of coal </w:t>
      </w:r>
      <w:r w:rsidR="00396D3F">
        <w:t xml:space="preserve">from </w:t>
      </w:r>
      <w:r w:rsidR="00921DA6">
        <w:t xml:space="preserve">Canada’s national energy supply and Canada’s commitment to end exports of thermal coal. </w:t>
      </w:r>
    </w:p>
    <w:p w14:paraId="4ED16778" w14:textId="5C6A2B29" w:rsidR="000D3183" w:rsidRDefault="000D3183" w:rsidP="00622885">
      <w:pPr>
        <w:pStyle w:val="Heading2"/>
      </w:pPr>
      <w:r>
        <w:t>Energy Storage</w:t>
      </w:r>
    </w:p>
    <w:p w14:paraId="4F5E6A27" w14:textId="66655EB3" w:rsidR="00CE6E05" w:rsidRPr="007E5A51" w:rsidRDefault="0024256C" w:rsidP="00CE6E05">
      <w:pPr>
        <w:rPr>
          <w:b/>
          <w:bCs/>
        </w:rPr>
      </w:pPr>
      <w:r w:rsidRPr="007E5A51">
        <w:rPr>
          <w:b/>
          <w:bCs/>
        </w:rPr>
        <w:t xml:space="preserve">Yes. </w:t>
      </w:r>
    </w:p>
    <w:p w14:paraId="3B0255FA" w14:textId="1ABA4B90" w:rsidR="0024256C" w:rsidRDefault="005A2F92" w:rsidP="00CE6E05">
      <w:r>
        <w:t>The renewable transition</w:t>
      </w:r>
      <w:r w:rsidR="002A53A5">
        <w:t xml:space="preserve"> </w:t>
      </w:r>
      <w:r w:rsidR="00913C84">
        <w:t>requires</w:t>
      </w:r>
      <w:r w:rsidR="002A53A5">
        <w:t xml:space="preserve"> </w:t>
      </w:r>
      <w:r w:rsidR="0083769A">
        <w:t>the storage of energy</w:t>
      </w:r>
      <w:r w:rsidR="00D252EB">
        <w:t xml:space="preserve"> (e.g., batteries)</w:t>
      </w:r>
      <w:r w:rsidR="0083769A">
        <w:t xml:space="preserve"> </w:t>
      </w:r>
      <w:r w:rsidR="00AB48E7">
        <w:t>from intermittent sources to reliably meet societal needs</w:t>
      </w:r>
      <w:r w:rsidR="00D252EB">
        <w:t xml:space="preserve">. </w:t>
      </w:r>
      <w:r w:rsidR="005532FB">
        <w:t xml:space="preserve">The environmental impact </w:t>
      </w:r>
      <w:r w:rsidR="00C66295">
        <w:t xml:space="preserve">of batteries comes primarily from </w:t>
      </w:r>
      <w:r w:rsidR="00A177AF">
        <w:t>mining</w:t>
      </w:r>
      <w:r w:rsidR="008E096F">
        <w:t xml:space="preserve"> and </w:t>
      </w:r>
      <w:r w:rsidR="00297E62">
        <w:t xml:space="preserve">end-of-life disposal. </w:t>
      </w:r>
      <w:r w:rsidR="0085505B">
        <w:t xml:space="preserve">AWA </w:t>
      </w:r>
      <w:r w:rsidR="0087440B">
        <w:t>recognizes</w:t>
      </w:r>
      <w:r w:rsidR="0085505B">
        <w:t xml:space="preserve"> that some</w:t>
      </w:r>
      <w:r w:rsidR="00F766B8">
        <w:t xml:space="preserve"> </w:t>
      </w:r>
      <w:r w:rsidR="0085505B">
        <w:t xml:space="preserve">mining will be required </w:t>
      </w:r>
      <w:r w:rsidR="0061535D">
        <w:t>to produce</w:t>
      </w:r>
      <w:r w:rsidR="0085505B">
        <w:t xml:space="preserve"> batteries</w:t>
      </w:r>
      <w:r w:rsidR="00E84595">
        <w:t xml:space="preserve"> while </w:t>
      </w:r>
      <w:r w:rsidR="007E01ED">
        <w:t xml:space="preserve">reductions in </w:t>
      </w:r>
      <w:r w:rsidR="0066252A">
        <w:t xml:space="preserve">energy consumption </w:t>
      </w:r>
      <w:r w:rsidR="00EC228D">
        <w:t xml:space="preserve">are needed to </w:t>
      </w:r>
      <w:r w:rsidR="007E01ED">
        <w:t xml:space="preserve">minimize the footprint of mining. </w:t>
      </w:r>
    </w:p>
    <w:p w14:paraId="55D46B67" w14:textId="652F12B5" w:rsidR="000D3183" w:rsidRDefault="00594E0B" w:rsidP="00622885">
      <w:pPr>
        <w:pStyle w:val="Heading2"/>
      </w:pPr>
      <w:r>
        <w:lastRenderedPageBreak/>
        <w:t>Geothermal</w:t>
      </w:r>
    </w:p>
    <w:p w14:paraId="0D8425D9" w14:textId="5A9F57F6" w:rsidR="00396D3F" w:rsidRPr="007E5A51" w:rsidRDefault="00396D3F" w:rsidP="00396D3F">
      <w:pPr>
        <w:rPr>
          <w:b/>
          <w:bCs/>
        </w:rPr>
      </w:pPr>
      <w:r w:rsidRPr="007E5A51">
        <w:rPr>
          <w:b/>
          <w:bCs/>
        </w:rPr>
        <w:t>Yes</w:t>
      </w:r>
      <w:r w:rsidR="00A02E5A">
        <w:rPr>
          <w:b/>
          <w:bCs/>
        </w:rPr>
        <w:t>.</w:t>
      </w:r>
      <w:r w:rsidR="00D22096">
        <w:rPr>
          <w:b/>
          <w:bCs/>
        </w:rPr>
        <w:t xml:space="preserve"> </w:t>
      </w:r>
    </w:p>
    <w:p w14:paraId="58F2DAA2" w14:textId="3B4081CA" w:rsidR="00396D3F" w:rsidRPr="00396D3F" w:rsidRDefault="00370AE4" w:rsidP="00396D3F">
      <w:r>
        <w:t>AWA supports geothermal development</w:t>
      </w:r>
      <w:r w:rsidR="00A02E5A">
        <w:t xml:space="preserve">, contingent on appropriate </w:t>
      </w:r>
      <w:r w:rsidR="009643FA">
        <w:t>s</w:t>
      </w:r>
      <w:r w:rsidR="00A02E5A">
        <w:t>iting.</w:t>
      </w:r>
    </w:p>
    <w:p w14:paraId="345DFA13" w14:textId="2CA58BBB" w:rsidR="00594E0B" w:rsidRDefault="00594E0B" w:rsidP="00622885">
      <w:pPr>
        <w:pStyle w:val="Heading2"/>
      </w:pPr>
      <w:r>
        <w:t>Hydroelectric</w:t>
      </w:r>
    </w:p>
    <w:p w14:paraId="6D682DB5" w14:textId="0005192C" w:rsidR="00102A55" w:rsidRPr="007E5A51" w:rsidRDefault="00102A55" w:rsidP="00102A55">
      <w:pPr>
        <w:rPr>
          <w:b/>
          <w:bCs/>
        </w:rPr>
      </w:pPr>
      <w:r w:rsidRPr="007E5A51">
        <w:rPr>
          <w:b/>
          <w:bCs/>
        </w:rPr>
        <w:t xml:space="preserve">Project dependent. </w:t>
      </w:r>
    </w:p>
    <w:p w14:paraId="3990A4E2" w14:textId="13291A3C" w:rsidR="00102A55" w:rsidRPr="00102A55" w:rsidRDefault="00061273" w:rsidP="00102A55">
      <w:r>
        <w:t xml:space="preserve">Hydroelectricity is one of the most reliable forms of renewable energy and is widely used across </w:t>
      </w:r>
      <w:r w:rsidR="00747354">
        <w:t>Canada but</w:t>
      </w:r>
      <w:r w:rsidR="00462AA1">
        <w:t xml:space="preserve"> can cause significant disturbances </w:t>
      </w:r>
      <w:r w:rsidR="00C64107">
        <w:t>to</w:t>
      </w:r>
      <w:r w:rsidR="00747354">
        <w:t xml:space="preserve"> </w:t>
      </w:r>
      <w:r w:rsidR="00C64107">
        <w:t xml:space="preserve">aquatic and riparian ecosystems. </w:t>
      </w:r>
      <w:r w:rsidR="002F0046">
        <w:t>AWA will consider support for hydroelectric projects on a case-by-case basis</w:t>
      </w:r>
      <w:r w:rsidR="00104CD5">
        <w:t xml:space="preserve">, </w:t>
      </w:r>
      <w:r w:rsidR="00747354">
        <w:t>given</w:t>
      </w:r>
      <w:r w:rsidR="00104CD5">
        <w:t xml:space="preserve"> the current state of Alberta’s watersheds and the cumulative impacts of existing development</w:t>
      </w:r>
      <w:r w:rsidR="003E309B">
        <w:t xml:space="preserve"> on aquatic </w:t>
      </w:r>
      <w:r w:rsidR="00D604C9">
        <w:t>ecosystems</w:t>
      </w:r>
      <w:r w:rsidR="003E309B">
        <w:t>.</w:t>
      </w:r>
    </w:p>
    <w:p w14:paraId="75CE5DB5" w14:textId="3D214CA8" w:rsidR="00594E0B" w:rsidRDefault="00E65191" w:rsidP="00622885">
      <w:pPr>
        <w:pStyle w:val="Heading2"/>
      </w:pPr>
      <w:r>
        <w:t xml:space="preserve">Green </w:t>
      </w:r>
      <w:r w:rsidR="00594E0B">
        <w:t>Hydrogen</w:t>
      </w:r>
    </w:p>
    <w:p w14:paraId="2EEFBCC3" w14:textId="378D2ADC" w:rsidR="00EC228D" w:rsidRDefault="00E65191" w:rsidP="007E5A51">
      <w:pPr>
        <w:rPr>
          <w:b/>
          <w:bCs/>
        </w:rPr>
      </w:pPr>
      <w:r>
        <w:rPr>
          <w:b/>
          <w:bCs/>
        </w:rPr>
        <w:t>Yes</w:t>
      </w:r>
      <w:r w:rsidR="00EC228D">
        <w:rPr>
          <w:b/>
          <w:bCs/>
        </w:rPr>
        <w:t xml:space="preserve">. </w:t>
      </w:r>
    </w:p>
    <w:p w14:paraId="106172F9" w14:textId="4A8ABBCB" w:rsidR="00EF2396" w:rsidRDefault="00EF2396" w:rsidP="004775FA">
      <w:r>
        <w:t xml:space="preserve"> </w:t>
      </w:r>
      <w:r w:rsidR="00BA7CC3">
        <w:t xml:space="preserve">“Green” hydrogen uses renewable energy to produce hydrogen through the electrolysis of water, </w:t>
      </w:r>
      <w:r w:rsidR="004775FA">
        <w:t>but it is not ideal where water is limited.</w:t>
      </w:r>
      <w:r w:rsidR="00DC0BA5" w:rsidRPr="00DC0BA5">
        <w:t xml:space="preserve"> </w:t>
      </w:r>
      <w:r w:rsidR="00DC0BA5">
        <w:t xml:space="preserve">AWA does not support other types of hydrogen development in Alberta. While hydrogen burns clean, the production of hydrogen </w:t>
      </w:r>
      <w:r w:rsidR="009643FA">
        <w:t xml:space="preserve">by means other than electrolysis </w:t>
      </w:r>
      <w:r w:rsidR="00DC0BA5">
        <w:t xml:space="preserve">requires </w:t>
      </w:r>
      <w:r w:rsidR="009643FA">
        <w:t>methane feedstock,</w:t>
      </w:r>
      <w:r w:rsidR="00DC0BA5">
        <w:t xml:space="preserve"> which is typically sourced from fossil fuels.</w:t>
      </w:r>
    </w:p>
    <w:p w14:paraId="4F0DEB81" w14:textId="3BE604F6" w:rsidR="00594E0B" w:rsidRDefault="00594E0B" w:rsidP="00622885">
      <w:pPr>
        <w:pStyle w:val="Heading2"/>
      </w:pPr>
      <w:r>
        <w:t>Nuclear</w:t>
      </w:r>
    </w:p>
    <w:p w14:paraId="6D88F28B" w14:textId="382A4408" w:rsidR="00512304" w:rsidRPr="00562F1C" w:rsidRDefault="00414C9A" w:rsidP="00512304">
      <w:pPr>
        <w:rPr>
          <w:b/>
          <w:bCs/>
        </w:rPr>
      </w:pPr>
      <w:r w:rsidRPr="00562F1C">
        <w:rPr>
          <w:b/>
          <w:bCs/>
        </w:rPr>
        <w:t>No.</w:t>
      </w:r>
    </w:p>
    <w:p w14:paraId="0B757355" w14:textId="3A3172A9" w:rsidR="00414C9A" w:rsidRPr="00512304" w:rsidRDefault="00414C9A" w:rsidP="00512304">
      <w:r>
        <w:t>AWA does not support the development of nuclear energy</w:t>
      </w:r>
      <w:r w:rsidR="006337D6">
        <w:t xml:space="preserve"> due to serious environmental, societal, and economic risks. Further development of this industry is not consistent with the</w:t>
      </w:r>
      <w:r w:rsidR="00F1654C">
        <w:t xml:space="preserve"> long-term sustainability of Alberta’s ecosystems and the health of </w:t>
      </w:r>
      <w:r w:rsidR="00CC372F">
        <w:t xml:space="preserve">local </w:t>
      </w:r>
      <w:r w:rsidR="00F1654C">
        <w:t xml:space="preserve">communities. </w:t>
      </w:r>
      <w:r w:rsidR="00F12DF3">
        <w:t>This includes the use of small-modular nuclear reactors (SMRs)</w:t>
      </w:r>
      <w:r w:rsidR="00A1322E">
        <w:t xml:space="preserve"> </w:t>
      </w:r>
      <w:r w:rsidR="004577CB">
        <w:t>in</w:t>
      </w:r>
      <w:r w:rsidR="00A1322E">
        <w:t xml:space="preserve"> the oil and gas industry, which would allow companies to maintain or increase production</w:t>
      </w:r>
      <w:r w:rsidR="008E5D38">
        <w:t>.</w:t>
      </w:r>
    </w:p>
    <w:p w14:paraId="2F857CD4" w14:textId="391307CA" w:rsidR="00594E0B" w:rsidRDefault="00594E0B" w:rsidP="00622885">
      <w:pPr>
        <w:pStyle w:val="Heading2"/>
      </w:pPr>
      <w:r>
        <w:t>Oil and Gas</w:t>
      </w:r>
    </w:p>
    <w:p w14:paraId="5EAA9277" w14:textId="57CC7BCA" w:rsidR="00FB25EE" w:rsidRPr="00562F1C" w:rsidRDefault="00FB25EE" w:rsidP="00FB25EE">
      <w:pPr>
        <w:rPr>
          <w:b/>
          <w:bCs/>
        </w:rPr>
      </w:pPr>
      <w:r w:rsidRPr="00562F1C">
        <w:rPr>
          <w:b/>
          <w:bCs/>
        </w:rPr>
        <w:t>No</w:t>
      </w:r>
      <w:r w:rsidR="00104040">
        <w:rPr>
          <w:b/>
          <w:bCs/>
        </w:rPr>
        <w:t xml:space="preserve"> (as an energy source</w:t>
      </w:r>
      <w:r w:rsidR="00322FF0">
        <w:rPr>
          <w:b/>
          <w:bCs/>
        </w:rPr>
        <w:t>)</w:t>
      </w:r>
      <w:r w:rsidRPr="00562F1C">
        <w:rPr>
          <w:b/>
          <w:bCs/>
        </w:rPr>
        <w:t xml:space="preserve">. </w:t>
      </w:r>
    </w:p>
    <w:p w14:paraId="3AACD054" w14:textId="2FE22399" w:rsidR="00A144D9" w:rsidRPr="00FB25EE" w:rsidRDefault="00A144D9" w:rsidP="00FB25EE">
      <w:r>
        <w:t xml:space="preserve">AWA supports an immediate phase down and timely phase out of fossil fuel production in Alberta in line </w:t>
      </w:r>
      <w:r w:rsidR="00580ECB">
        <w:t xml:space="preserve">with </w:t>
      </w:r>
      <w:r w:rsidR="00227DCC">
        <w:t>i</w:t>
      </w:r>
      <w:r>
        <w:t>nternational climate commitment</w:t>
      </w:r>
      <w:r w:rsidR="00E80E14">
        <w:t xml:space="preserve">s. </w:t>
      </w:r>
      <w:r w:rsidR="00953010">
        <w:t>The future of fossil fuel reserve</w:t>
      </w:r>
      <w:r w:rsidR="009643FA">
        <w:t>s</w:t>
      </w:r>
      <w:r w:rsidR="00953010">
        <w:t xml:space="preserve"> needs further discussion regarding </w:t>
      </w:r>
      <w:r w:rsidR="00B052CA">
        <w:t>which sources are needed for non-energy uses, e.g. lubricants, associated helium, etc.</w:t>
      </w:r>
      <w:r w:rsidR="00F17D3A">
        <w:t xml:space="preserve"> During the transition to renewable energy, some oil and gas projects or infrastructure may need to be developed to meet Canada’s energy </w:t>
      </w:r>
      <w:r w:rsidR="008771FC">
        <w:t>needs,</w:t>
      </w:r>
      <w:r w:rsidR="00D66384">
        <w:t xml:space="preserve"> but this should not be implemented in ways that delay the most expeditious switch to non-fossil fuel sources.</w:t>
      </w:r>
    </w:p>
    <w:p w14:paraId="73F9AF72" w14:textId="1B5633A1" w:rsidR="00594E0B" w:rsidRDefault="00594E0B" w:rsidP="00622885">
      <w:pPr>
        <w:pStyle w:val="Heading2"/>
      </w:pPr>
      <w:r>
        <w:t>Solar</w:t>
      </w:r>
    </w:p>
    <w:p w14:paraId="0D607ED8" w14:textId="07B493C7" w:rsidR="00705510" w:rsidRDefault="00705510" w:rsidP="00705510">
      <w:pPr>
        <w:rPr>
          <w:b/>
          <w:bCs/>
        </w:rPr>
      </w:pPr>
      <w:r w:rsidRPr="00705510">
        <w:rPr>
          <w:b/>
          <w:bCs/>
        </w:rPr>
        <w:t>Yes</w:t>
      </w:r>
      <w:r>
        <w:rPr>
          <w:b/>
          <w:bCs/>
        </w:rPr>
        <w:t>.</w:t>
      </w:r>
    </w:p>
    <w:p w14:paraId="523BA7AE" w14:textId="1E5CBE86" w:rsidR="00705510" w:rsidRPr="00705510" w:rsidRDefault="00CC246A" w:rsidP="00705510">
      <w:r>
        <w:t>AWA supports s</w:t>
      </w:r>
      <w:r w:rsidR="00EF6A4D">
        <w:t>olar energy development,</w:t>
      </w:r>
      <w:r w:rsidR="003D43BC">
        <w:t xml:space="preserve"> contingent on appropriate siting.</w:t>
      </w:r>
      <w:r w:rsidR="00EF6A4D">
        <w:t xml:space="preserve"> Alberta enjoys the greatest number of sunny days in Canada, and solar is expected to be a major source of energy</w:t>
      </w:r>
      <w:r w:rsidR="00B95C83">
        <w:t xml:space="preserve"> on </w:t>
      </w:r>
      <w:r w:rsidR="00B95C83">
        <w:lastRenderedPageBreak/>
        <w:t xml:space="preserve">Alberta’s path to net-zero emissions. Solar </w:t>
      </w:r>
      <w:r w:rsidR="00D80F99">
        <w:t xml:space="preserve">is not without environmental impacts, but it </w:t>
      </w:r>
      <w:r w:rsidR="003D43BC">
        <w:t>can work alongside</w:t>
      </w:r>
      <w:r w:rsidR="00D80F99">
        <w:t xml:space="preserve"> other land uses</w:t>
      </w:r>
      <w:r w:rsidR="005B722B">
        <w:t>, on previously disturbed lands</w:t>
      </w:r>
      <w:r w:rsidR="00621B75">
        <w:t>, or urban infrastructure.</w:t>
      </w:r>
    </w:p>
    <w:p w14:paraId="1844AFDE" w14:textId="7F8E20A4" w:rsidR="00594E0B" w:rsidRDefault="00594E0B" w:rsidP="00622885">
      <w:pPr>
        <w:pStyle w:val="Heading2"/>
      </w:pPr>
      <w:r>
        <w:t>Wind</w:t>
      </w:r>
    </w:p>
    <w:p w14:paraId="18831EA7" w14:textId="3F7A4D2D" w:rsidR="00705510" w:rsidRDefault="00705510" w:rsidP="00705510">
      <w:pPr>
        <w:rPr>
          <w:b/>
          <w:bCs/>
        </w:rPr>
      </w:pPr>
      <w:r w:rsidRPr="00705510">
        <w:rPr>
          <w:b/>
          <w:bCs/>
        </w:rPr>
        <w:t>Yes</w:t>
      </w:r>
      <w:r w:rsidR="00623097">
        <w:rPr>
          <w:b/>
          <w:bCs/>
        </w:rPr>
        <w:t>.</w:t>
      </w:r>
    </w:p>
    <w:p w14:paraId="6B549621" w14:textId="5CB129A6" w:rsidR="00623097" w:rsidRPr="00623097" w:rsidRDefault="00493192" w:rsidP="00705510">
      <w:r>
        <w:t xml:space="preserve">AWA supports </w:t>
      </w:r>
      <w:r w:rsidR="00623097">
        <w:t xml:space="preserve">wind energy development, contingent on appropriate siting and the application of </w:t>
      </w:r>
      <w:r w:rsidR="009E54AD">
        <w:t>science-based mitigation of environmental impacts, such as seasonal curtailment periods to protect migratory species such as birds</w:t>
      </w:r>
      <w:r w:rsidR="7EDA5BD8">
        <w:t xml:space="preserve"> and bats</w:t>
      </w:r>
      <w:r w:rsidR="009E54AD">
        <w:t xml:space="preserve">. </w:t>
      </w:r>
    </w:p>
    <w:sectPr w:rsidR="00623097" w:rsidRPr="00623097" w:rsidSect="005E253D">
      <w:headerReference w:type="default" r:id="rId8"/>
      <w:footerReference w:type="default" r:id="rId9"/>
      <w:headerReference w:type="first" r:id="rId10"/>
      <w:footerReference w:type="first" r:id="rId11"/>
      <w:pgSz w:w="12240" w:h="15840" w:code="1"/>
      <w:pgMar w:top="1418" w:right="1440" w:bottom="1701" w:left="1418"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7BB0" w14:textId="77777777" w:rsidR="00E72281" w:rsidRDefault="00E72281" w:rsidP="00377123">
      <w:pPr>
        <w:spacing w:after="0" w:line="240" w:lineRule="auto"/>
      </w:pPr>
      <w:r>
        <w:separator/>
      </w:r>
    </w:p>
  </w:endnote>
  <w:endnote w:type="continuationSeparator" w:id="0">
    <w:p w14:paraId="01BB1137" w14:textId="77777777" w:rsidR="00E72281" w:rsidRDefault="00E72281" w:rsidP="00377123">
      <w:pPr>
        <w:spacing w:after="0" w:line="240" w:lineRule="auto"/>
      </w:pPr>
      <w:r>
        <w:continuationSeparator/>
      </w:r>
    </w:p>
  </w:endnote>
  <w:endnote w:type="continuationNotice" w:id="1">
    <w:p w14:paraId="33800518" w14:textId="77777777" w:rsidR="00E72281" w:rsidRDefault="00E72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3343"/>
      <w:gridCol w:w="2694"/>
      <w:gridCol w:w="3539"/>
    </w:tblGrid>
    <w:tr w:rsidR="005E253D" w14:paraId="648980CD" w14:textId="77777777" w:rsidTr="008C6F18">
      <w:tblPrEx>
        <w:tblCellMar>
          <w:top w:w="0" w:type="dxa"/>
          <w:bottom w:w="0" w:type="dxa"/>
        </w:tblCellMar>
      </w:tblPrEx>
      <w:trPr>
        <w:trHeight w:val="792"/>
      </w:trPr>
      <w:tc>
        <w:tcPr>
          <w:tcW w:w="3343" w:type="dxa"/>
          <w:vAlign w:val="center"/>
        </w:tcPr>
        <w:p w14:paraId="0B0550B2" w14:textId="77777777" w:rsidR="005E253D" w:rsidRDefault="005E253D" w:rsidP="005E253D">
          <w:pPr>
            <w:pStyle w:val="Footer"/>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z w:val="16"/>
            </w:rPr>
            <w:t xml:space="preserve"> of </w:t>
          </w:r>
          <w:r>
            <w:rPr>
              <w:b/>
              <w:sz w:val="16"/>
            </w:rPr>
            <w:fldChar w:fldCharType="begin"/>
          </w:r>
          <w:r>
            <w:rPr>
              <w:b/>
              <w:sz w:val="16"/>
            </w:rPr>
            <w:instrText xml:space="preserve"> NUMPAGES </w:instrText>
          </w:r>
          <w:r>
            <w:rPr>
              <w:b/>
              <w:sz w:val="16"/>
            </w:rPr>
            <w:fldChar w:fldCharType="separate"/>
          </w:r>
          <w:r>
            <w:rPr>
              <w:b/>
              <w:sz w:val="16"/>
            </w:rPr>
            <w:t>5</w:t>
          </w:r>
          <w:r>
            <w:rPr>
              <w:b/>
              <w:sz w:val="16"/>
            </w:rPr>
            <w:fldChar w:fldCharType="end"/>
          </w:r>
        </w:p>
        <w:p w14:paraId="65F58053" w14:textId="77777777" w:rsidR="005E253D" w:rsidRDefault="005E253D" w:rsidP="005E253D">
          <w:pPr>
            <w:pStyle w:val="Footer"/>
            <w:rPr>
              <w:b/>
              <w:sz w:val="16"/>
            </w:rPr>
          </w:pPr>
          <w:r>
            <w:rPr>
              <w:b/>
              <w:sz w:val="16"/>
            </w:rPr>
            <w:t>Board Approved: 2024</w:t>
          </w:r>
        </w:p>
        <w:p w14:paraId="1648CAD2" w14:textId="77777777" w:rsidR="005E253D" w:rsidRDefault="005E253D" w:rsidP="005E253D">
          <w:pPr>
            <w:pStyle w:val="Footer"/>
            <w:rPr>
              <w:sz w:val="16"/>
            </w:rPr>
          </w:pPr>
          <w:r>
            <w:rPr>
              <w:b/>
              <w:sz w:val="16"/>
            </w:rPr>
            <w:t xml:space="preserve">Reviewed: </w:t>
          </w:r>
        </w:p>
        <w:p w14:paraId="01998587" w14:textId="77777777" w:rsidR="005E253D" w:rsidRDefault="005E253D" w:rsidP="005E253D">
          <w:pPr>
            <w:pStyle w:val="Footer"/>
            <w:rPr>
              <w:sz w:val="18"/>
            </w:rPr>
          </w:pPr>
        </w:p>
      </w:tc>
      <w:tc>
        <w:tcPr>
          <w:tcW w:w="2694" w:type="dxa"/>
          <w:vAlign w:val="center"/>
        </w:tcPr>
        <w:p w14:paraId="79A43819" w14:textId="77777777" w:rsidR="005E253D" w:rsidRDefault="005E253D" w:rsidP="005E253D">
          <w:pPr>
            <w:pStyle w:val="Footer"/>
            <w:jc w:val="center"/>
          </w:pPr>
          <w:r>
            <w:rPr>
              <w:noProof/>
              <w:sz w:val="20"/>
            </w:rPr>
            <w:drawing>
              <wp:inline distT="0" distB="0" distL="0" distR="0" wp14:anchorId="66EE6323" wp14:editId="625E116D">
                <wp:extent cx="685800" cy="295275"/>
                <wp:effectExtent l="0" t="0" r="0" b="9525"/>
                <wp:docPr id="1423997332"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2563" name="Picture 4"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p>
      </w:tc>
      <w:tc>
        <w:tcPr>
          <w:tcW w:w="3539" w:type="dxa"/>
          <w:vAlign w:val="center"/>
        </w:tcPr>
        <w:p w14:paraId="2C090FCB" w14:textId="77777777" w:rsidR="005E253D" w:rsidRDefault="005E253D" w:rsidP="005E253D">
          <w:pPr>
            <w:pStyle w:val="Footer"/>
            <w:rPr>
              <w:sz w:val="16"/>
            </w:rPr>
          </w:pPr>
        </w:p>
        <w:p w14:paraId="72AFB5BC" w14:textId="77777777" w:rsidR="005E253D" w:rsidRDefault="005E253D" w:rsidP="005E253D">
          <w:pPr>
            <w:pStyle w:val="Footer"/>
            <w:rPr>
              <w:sz w:val="16"/>
            </w:rPr>
          </w:pPr>
          <w:r>
            <w:rPr>
              <w:sz w:val="16"/>
            </w:rPr>
            <w:t>Alberta Wilderness Association</w:t>
          </w:r>
        </w:p>
        <w:p w14:paraId="59DBE914" w14:textId="77777777" w:rsidR="005E253D" w:rsidRDefault="005E253D" w:rsidP="005E253D">
          <w:pPr>
            <w:pStyle w:val="Footer"/>
          </w:pPr>
        </w:p>
      </w:tc>
    </w:tr>
  </w:tbl>
  <w:p w14:paraId="0A1F1ED4" w14:textId="77777777" w:rsidR="005E253D" w:rsidRDefault="005E253D" w:rsidP="005E253D">
    <w:pPr>
      <w:pStyle w:val="Footer"/>
    </w:pPr>
  </w:p>
  <w:p w14:paraId="681367B2" w14:textId="77777777" w:rsidR="005E253D" w:rsidRDefault="005E2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3343"/>
      <w:gridCol w:w="2694"/>
      <w:gridCol w:w="3539"/>
    </w:tblGrid>
    <w:tr w:rsidR="005E253D" w14:paraId="32D59457" w14:textId="77777777" w:rsidTr="008C6F18">
      <w:tblPrEx>
        <w:tblCellMar>
          <w:top w:w="0" w:type="dxa"/>
          <w:bottom w:w="0" w:type="dxa"/>
        </w:tblCellMar>
      </w:tblPrEx>
      <w:trPr>
        <w:trHeight w:val="792"/>
      </w:trPr>
      <w:tc>
        <w:tcPr>
          <w:tcW w:w="3343" w:type="dxa"/>
          <w:vAlign w:val="center"/>
        </w:tcPr>
        <w:p w14:paraId="011B7440" w14:textId="77777777" w:rsidR="005E253D" w:rsidRDefault="005E253D" w:rsidP="005E253D">
          <w:pPr>
            <w:pStyle w:val="Footer"/>
            <w:rPr>
              <w:b/>
              <w:sz w:val="16"/>
            </w:rPr>
          </w:pPr>
          <w:bookmarkStart w:id="0" w:name="_Hlk188357199"/>
          <w:r>
            <w:rPr>
              <w:b/>
              <w:sz w:val="16"/>
            </w:rPr>
            <w:t xml:space="preserve">Page </w:t>
          </w:r>
          <w:r>
            <w:rPr>
              <w:b/>
              <w:sz w:val="16"/>
            </w:rPr>
            <w:fldChar w:fldCharType="begin"/>
          </w:r>
          <w:r>
            <w:rPr>
              <w:b/>
              <w:sz w:val="16"/>
            </w:rPr>
            <w:instrText xml:space="preserve"> PAGE </w:instrText>
          </w:r>
          <w:r>
            <w:rPr>
              <w:b/>
              <w:sz w:val="16"/>
            </w:rPr>
            <w:fldChar w:fldCharType="separate"/>
          </w:r>
          <w:r>
            <w:rPr>
              <w:b/>
              <w:noProof/>
              <w:sz w:val="16"/>
            </w:rPr>
            <w:t>1</w:t>
          </w:r>
          <w:r>
            <w:rPr>
              <w:b/>
              <w:sz w:val="16"/>
            </w:rPr>
            <w:fldChar w:fldCharType="end"/>
          </w:r>
          <w:r>
            <w:rPr>
              <w:b/>
              <w:sz w:val="16"/>
            </w:rPr>
            <w:t xml:space="preserve"> of </w:t>
          </w:r>
          <w:r>
            <w:rPr>
              <w:b/>
              <w:sz w:val="16"/>
            </w:rPr>
            <w:fldChar w:fldCharType="begin"/>
          </w:r>
          <w:r>
            <w:rPr>
              <w:b/>
              <w:sz w:val="16"/>
            </w:rPr>
            <w:instrText xml:space="preserve"> NUMPAGES </w:instrText>
          </w:r>
          <w:r>
            <w:rPr>
              <w:b/>
              <w:sz w:val="16"/>
            </w:rPr>
            <w:fldChar w:fldCharType="separate"/>
          </w:r>
          <w:r>
            <w:rPr>
              <w:b/>
              <w:noProof/>
              <w:sz w:val="16"/>
            </w:rPr>
            <w:t>1</w:t>
          </w:r>
          <w:r>
            <w:rPr>
              <w:b/>
              <w:sz w:val="16"/>
            </w:rPr>
            <w:fldChar w:fldCharType="end"/>
          </w:r>
        </w:p>
        <w:p w14:paraId="154766A3" w14:textId="36F143F4" w:rsidR="005E253D" w:rsidRDefault="005E253D" w:rsidP="005E253D">
          <w:pPr>
            <w:pStyle w:val="Footer"/>
            <w:rPr>
              <w:b/>
              <w:sz w:val="16"/>
            </w:rPr>
          </w:pPr>
          <w:r>
            <w:rPr>
              <w:b/>
              <w:sz w:val="16"/>
            </w:rPr>
            <w:t xml:space="preserve">Board Approved: </w:t>
          </w:r>
          <w:r>
            <w:rPr>
              <w:b/>
              <w:sz w:val="16"/>
            </w:rPr>
            <w:t>2024</w:t>
          </w:r>
        </w:p>
        <w:p w14:paraId="6F393535" w14:textId="64D4B12E" w:rsidR="005E253D" w:rsidRDefault="005E253D" w:rsidP="005E253D">
          <w:pPr>
            <w:pStyle w:val="Footer"/>
            <w:rPr>
              <w:sz w:val="16"/>
            </w:rPr>
          </w:pPr>
          <w:r>
            <w:rPr>
              <w:b/>
              <w:sz w:val="16"/>
            </w:rPr>
            <w:t xml:space="preserve">Reviewed: </w:t>
          </w:r>
        </w:p>
        <w:p w14:paraId="00BB2E3A" w14:textId="77777777" w:rsidR="005E253D" w:rsidRDefault="005E253D" w:rsidP="005E253D">
          <w:pPr>
            <w:pStyle w:val="Footer"/>
            <w:rPr>
              <w:sz w:val="18"/>
            </w:rPr>
          </w:pPr>
        </w:p>
      </w:tc>
      <w:tc>
        <w:tcPr>
          <w:tcW w:w="2694" w:type="dxa"/>
          <w:vAlign w:val="center"/>
        </w:tcPr>
        <w:p w14:paraId="27E91B99" w14:textId="1AD9BBD9" w:rsidR="005E253D" w:rsidRDefault="005E253D" w:rsidP="005E253D">
          <w:pPr>
            <w:pStyle w:val="Footer"/>
            <w:jc w:val="center"/>
          </w:pPr>
          <w:r>
            <w:rPr>
              <w:noProof/>
              <w:sz w:val="20"/>
            </w:rPr>
            <w:drawing>
              <wp:inline distT="0" distB="0" distL="0" distR="0" wp14:anchorId="57D77E77" wp14:editId="606C3FA6">
                <wp:extent cx="685800" cy="295275"/>
                <wp:effectExtent l="0" t="0" r="0" b="9525"/>
                <wp:docPr id="1711763265"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2563" name="Picture 4"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p>
      </w:tc>
      <w:tc>
        <w:tcPr>
          <w:tcW w:w="3539" w:type="dxa"/>
          <w:vAlign w:val="center"/>
        </w:tcPr>
        <w:p w14:paraId="34D47CB9" w14:textId="77777777" w:rsidR="005E253D" w:rsidRDefault="005E253D" w:rsidP="005E253D">
          <w:pPr>
            <w:pStyle w:val="Footer"/>
            <w:rPr>
              <w:sz w:val="16"/>
            </w:rPr>
          </w:pPr>
        </w:p>
        <w:p w14:paraId="56C196C4" w14:textId="77777777" w:rsidR="005E253D" w:rsidRDefault="005E253D" w:rsidP="005E253D">
          <w:pPr>
            <w:pStyle w:val="Footer"/>
            <w:rPr>
              <w:sz w:val="16"/>
            </w:rPr>
          </w:pPr>
          <w:r>
            <w:rPr>
              <w:sz w:val="16"/>
            </w:rPr>
            <w:t>Alberta Wilderness Association</w:t>
          </w:r>
        </w:p>
        <w:p w14:paraId="5BC1BF52" w14:textId="77777777" w:rsidR="005E253D" w:rsidRDefault="005E253D" w:rsidP="005E253D">
          <w:pPr>
            <w:pStyle w:val="Footer"/>
          </w:pPr>
        </w:p>
      </w:tc>
    </w:tr>
    <w:bookmarkEnd w:id="0"/>
  </w:tbl>
  <w:p w14:paraId="22B01DC2" w14:textId="77777777" w:rsidR="005E253D" w:rsidRDefault="005E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2BB1" w14:textId="77777777" w:rsidR="00E72281" w:rsidRDefault="00E72281" w:rsidP="00377123">
      <w:pPr>
        <w:spacing w:after="0" w:line="240" w:lineRule="auto"/>
      </w:pPr>
      <w:r>
        <w:separator/>
      </w:r>
    </w:p>
  </w:footnote>
  <w:footnote w:type="continuationSeparator" w:id="0">
    <w:p w14:paraId="20727E98" w14:textId="77777777" w:rsidR="00E72281" w:rsidRDefault="00E72281" w:rsidP="00377123">
      <w:pPr>
        <w:spacing w:after="0" w:line="240" w:lineRule="auto"/>
      </w:pPr>
      <w:r>
        <w:continuationSeparator/>
      </w:r>
    </w:p>
  </w:footnote>
  <w:footnote w:type="continuationNotice" w:id="1">
    <w:p w14:paraId="408A21E2" w14:textId="77777777" w:rsidR="00E72281" w:rsidRDefault="00E722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2616" w14:textId="34EB6A21" w:rsidR="00377123" w:rsidRDefault="00377123" w:rsidP="003771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DD71" w14:textId="32AADFAA" w:rsidR="00377123" w:rsidRDefault="00377123" w:rsidP="00E416EF">
    <w:pPr>
      <w:pStyle w:val="Header"/>
      <w:jc w:val="right"/>
    </w:pPr>
    <w:r>
      <w:rPr>
        <w:noProof/>
      </w:rPr>
      <w:drawing>
        <wp:inline distT="0" distB="0" distL="0" distR="0" wp14:anchorId="6053516D" wp14:editId="7767A62D">
          <wp:extent cx="1395813" cy="666750"/>
          <wp:effectExtent l="0" t="0" r="0" b="0"/>
          <wp:docPr id="149488462" name="Picture 3" descr="A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561" cy="6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94C0C"/>
    <w:multiLevelType w:val="hybridMultilevel"/>
    <w:tmpl w:val="76C61A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3C653F1"/>
    <w:multiLevelType w:val="hybridMultilevel"/>
    <w:tmpl w:val="2B7218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FFFFFFFF">
      <w:start w:val="1"/>
      <w:numFmt w:val="upp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7EA2651B"/>
    <w:multiLevelType w:val="hybridMultilevel"/>
    <w:tmpl w:val="19FE7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4326264">
    <w:abstractNumId w:val="0"/>
  </w:num>
  <w:num w:numId="2" w16cid:durableId="2085257135">
    <w:abstractNumId w:val="2"/>
  </w:num>
  <w:num w:numId="3" w16cid:durableId="1718627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82"/>
    <w:rsid w:val="00015384"/>
    <w:rsid w:val="000155A9"/>
    <w:rsid w:val="000240C9"/>
    <w:rsid w:val="00033F23"/>
    <w:rsid w:val="000353C4"/>
    <w:rsid w:val="00053885"/>
    <w:rsid w:val="00055918"/>
    <w:rsid w:val="00061273"/>
    <w:rsid w:val="00062307"/>
    <w:rsid w:val="00062F2B"/>
    <w:rsid w:val="00086676"/>
    <w:rsid w:val="00094DC6"/>
    <w:rsid w:val="00096D37"/>
    <w:rsid w:val="000A6AA8"/>
    <w:rsid w:val="000A6FC0"/>
    <w:rsid w:val="000B2191"/>
    <w:rsid w:val="000B4735"/>
    <w:rsid w:val="000C01EF"/>
    <w:rsid w:val="000C0374"/>
    <w:rsid w:val="000C321B"/>
    <w:rsid w:val="000D3183"/>
    <w:rsid w:val="000D327C"/>
    <w:rsid w:val="000D4E79"/>
    <w:rsid w:val="000E0F4B"/>
    <w:rsid w:val="000E7E55"/>
    <w:rsid w:val="000F13E8"/>
    <w:rsid w:val="00100D37"/>
    <w:rsid w:val="00102A55"/>
    <w:rsid w:val="00104040"/>
    <w:rsid w:val="00104598"/>
    <w:rsid w:val="00104CD5"/>
    <w:rsid w:val="00114A9C"/>
    <w:rsid w:val="00123C31"/>
    <w:rsid w:val="00132DC1"/>
    <w:rsid w:val="00133B73"/>
    <w:rsid w:val="00136F34"/>
    <w:rsid w:val="001424AE"/>
    <w:rsid w:val="001432BD"/>
    <w:rsid w:val="00153859"/>
    <w:rsid w:val="001553BC"/>
    <w:rsid w:val="00162FB5"/>
    <w:rsid w:val="00164B6C"/>
    <w:rsid w:val="001673C1"/>
    <w:rsid w:val="001859D0"/>
    <w:rsid w:val="00190F7B"/>
    <w:rsid w:val="00194BDD"/>
    <w:rsid w:val="001A7767"/>
    <w:rsid w:val="001C39EF"/>
    <w:rsid w:val="001C58AC"/>
    <w:rsid w:val="001D61CA"/>
    <w:rsid w:val="001F5915"/>
    <w:rsid w:val="001F6EED"/>
    <w:rsid w:val="001F6F45"/>
    <w:rsid w:val="002067A2"/>
    <w:rsid w:val="002157A4"/>
    <w:rsid w:val="00220C0F"/>
    <w:rsid w:val="00227DCC"/>
    <w:rsid w:val="0024256C"/>
    <w:rsid w:val="00250C3A"/>
    <w:rsid w:val="002552BD"/>
    <w:rsid w:val="002560F2"/>
    <w:rsid w:val="00276181"/>
    <w:rsid w:val="0028060B"/>
    <w:rsid w:val="00283788"/>
    <w:rsid w:val="00297E62"/>
    <w:rsid w:val="002A42B7"/>
    <w:rsid w:val="002A53A5"/>
    <w:rsid w:val="002D6A56"/>
    <w:rsid w:val="002E2031"/>
    <w:rsid w:val="002E35C7"/>
    <w:rsid w:val="002E4FBA"/>
    <w:rsid w:val="002F0046"/>
    <w:rsid w:val="002F1503"/>
    <w:rsid w:val="002F1CE5"/>
    <w:rsid w:val="002F35F5"/>
    <w:rsid w:val="00304CE4"/>
    <w:rsid w:val="00322FF0"/>
    <w:rsid w:val="00336CBE"/>
    <w:rsid w:val="00337687"/>
    <w:rsid w:val="00340CF7"/>
    <w:rsid w:val="00340F02"/>
    <w:rsid w:val="00370AE4"/>
    <w:rsid w:val="00377123"/>
    <w:rsid w:val="003843BB"/>
    <w:rsid w:val="00390DB6"/>
    <w:rsid w:val="0039157D"/>
    <w:rsid w:val="00396D3F"/>
    <w:rsid w:val="003A0044"/>
    <w:rsid w:val="003A2892"/>
    <w:rsid w:val="003A58B2"/>
    <w:rsid w:val="003A7B6D"/>
    <w:rsid w:val="003D2F74"/>
    <w:rsid w:val="003D43BC"/>
    <w:rsid w:val="003E07D4"/>
    <w:rsid w:val="003E1334"/>
    <w:rsid w:val="003E309B"/>
    <w:rsid w:val="003F022F"/>
    <w:rsid w:val="003F0883"/>
    <w:rsid w:val="003F1119"/>
    <w:rsid w:val="00413421"/>
    <w:rsid w:val="00414C9A"/>
    <w:rsid w:val="00417A4C"/>
    <w:rsid w:val="0042182C"/>
    <w:rsid w:val="00421F2C"/>
    <w:rsid w:val="00431A05"/>
    <w:rsid w:val="004428AC"/>
    <w:rsid w:val="0044606B"/>
    <w:rsid w:val="00452774"/>
    <w:rsid w:val="004577CB"/>
    <w:rsid w:val="00457F8C"/>
    <w:rsid w:val="004600C2"/>
    <w:rsid w:val="00460239"/>
    <w:rsid w:val="00462AA1"/>
    <w:rsid w:val="0046740B"/>
    <w:rsid w:val="004744E5"/>
    <w:rsid w:val="004775FA"/>
    <w:rsid w:val="00480BBE"/>
    <w:rsid w:val="00484F21"/>
    <w:rsid w:val="004868D2"/>
    <w:rsid w:val="00486FBB"/>
    <w:rsid w:val="00487D04"/>
    <w:rsid w:val="00493192"/>
    <w:rsid w:val="00495832"/>
    <w:rsid w:val="004A3E68"/>
    <w:rsid w:val="004A6885"/>
    <w:rsid w:val="004C5A94"/>
    <w:rsid w:val="004E6454"/>
    <w:rsid w:val="00512304"/>
    <w:rsid w:val="0054527A"/>
    <w:rsid w:val="005532FB"/>
    <w:rsid w:val="00556D92"/>
    <w:rsid w:val="00562F1C"/>
    <w:rsid w:val="005712C3"/>
    <w:rsid w:val="00574D1D"/>
    <w:rsid w:val="005776A4"/>
    <w:rsid w:val="00580ECB"/>
    <w:rsid w:val="00582F98"/>
    <w:rsid w:val="00583748"/>
    <w:rsid w:val="00586553"/>
    <w:rsid w:val="0059231A"/>
    <w:rsid w:val="00592A21"/>
    <w:rsid w:val="00594E0B"/>
    <w:rsid w:val="00596603"/>
    <w:rsid w:val="005A25C8"/>
    <w:rsid w:val="005A2F92"/>
    <w:rsid w:val="005A47B1"/>
    <w:rsid w:val="005B3FCB"/>
    <w:rsid w:val="005B722B"/>
    <w:rsid w:val="005D3557"/>
    <w:rsid w:val="005E0E66"/>
    <w:rsid w:val="005E253D"/>
    <w:rsid w:val="005E672A"/>
    <w:rsid w:val="005E7A36"/>
    <w:rsid w:val="005F410F"/>
    <w:rsid w:val="0061535D"/>
    <w:rsid w:val="006155C2"/>
    <w:rsid w:val="006168CE"/>
    <w:rsid w:val="00621B75"/>
    <w:rsid w:val="00622885"/>
    <w:rsid w:val="00623097"/>
    <w:rsid w:val="006337D6"/>
    <w:rsid w:val="006434BA"/>
    <w:rsid w:val="006503AA"/>
    <w:rsid w:val="00654154"/>
    <w:rsid w:val="00655073"/>
    <w:rsid w:val="0066252A"/>
    <w:rsid w:val="00666B09"/>
    <w:rsid w:val="00677754"/>
    <w:rsid w:val="006816AE"/>
    <w:rsid w:val="00682C21"/>
    <w:rsid w:val="006955EA"/>
    <w:rsid w:val="006B0605"/>
    <w:rsid w:val="006C23D8"/>
    <w:rsid w:val="006C4C71"/>
    <w:rsid w:val="00705510"/>
    <w:rsid w:val="00710DDB"/>
    <w:rsid w:val="00720D91"/>
    <w:rsid w:val="007230E6"/>
    <w:rsid w:val="00725925"/>
    <w:rsid w:val="007427D0"/>
    <w:rsid w:val="00744A3F"/>
    <w:rsid w:val="00747354"/>
    <w:rsid w:val="00754E17"/>
    <w:rsid w:val="00772AAF"/>
    <w:rsid w:val="007760E0"/>
    <w:rsid w:val="00783CB8"/>
    <w:rsid w:val="0078428C"/>
    <w:rsid w:val="007C4228"/>
    <w:rsid w:val="007D25B0"/>
    <w:rsid w:val="007D2ACC"/>
    <w:rsid w:val="007D44BD"/>
    <w:rsid w:val="007D44E3"/>
    <w:rsid w:val="007E01ED"/>
    <w:rsid w:val="007E2A1E"/>
    <w:rsid w:val="007E5A51"/>
    <w:rsid w:val="007F15C6"/>
    <w:rsid w:val="007F1611"/>
    <w:rsid w:val="00800BF0"/>
    <w:rsid w:val="008048FF"/>
    <w:rsid w:val="00812F72"/>
    <w:rsid w:val="00813124"/>
    <w:rsid w:val="00816D27"/>
    <w:rsid w:val="00823DE8"/>
    <w:rsid w:val="00834C90"/>
    <w:rsid w:val="0083769A"/>
    <w:rsid w:val="008507B4"/>
    <w:rsid w:val="00854002"/>
    <w:rsid w:val="0085505B"/>
    <w:rsid w:val="0086118E"/>
    <w:rsid w:val="00863387"/>
    <w:rsid w:val="008714BC"/>
    <w:rsid w:val="0087440B"/>
    <w:rsid w:val="008771FC"/>
    <w:rsid w:val="00877A14"/>
    <w:rsid w:val="00880EBA"/>
    <w:rsid w:val="00890882"/>
    <w:rsid w:val="0089338E"/>
    <w:rsid w:val="008A4F02"/>
    <w:rsid w:val="008B300D"/>
    <w:rsid w:val="008E096F"/>
    <w:rsid w:val="008E358D"/>
    <w:rsid w:val="008E5D38"/>
    <w:rsid w:val="008F3D37"/>
    <w:rsid w:val="00913C84"/>
    <w:rsid w:val="00915CDB"/>
    <w:rsid w:val="00920949"/>
    <w:rsid w:val="00921DA6"/>
    <w:rsid w:val="009252A6"/>
    <w:rsid w:val="009261B1"/>
    <w:rsid w:val="00951376"/>
    <w:rsid w:val="00953010"/>
    <w:rsid w:val="009643FA"/>
    <w:rsid w:val="00964A3B"/>
    <w:rsid w:val="009756E0"/>
    <w:rsid w:val="00975D93"/>
    <w:rsid w:val="0098419D"/>
    <w:rsid w:val="0099282C"/>
    <w:rsid w:val="00997962"/>
    <w:rsid w:val="009A0DE5"/>
    <w:rsid w:val="009A7CB9"/>
    <w:rsid w:val="009C6C92"/>
    <w:rsid w:val="009E54AD"/>
    <w:rsid w:val="009F142C"/>
    <w:rsid w:val="009F33B8"/>
    <w:rsid w:val="00A02E5A"/>
    <w:rsid w:val="00A1322E"/>
    <w:rsid w:val="00A144D9"/>
    <w:rsid w:val="00A17225"/>
    <w:rsid w:val="00A177AF"/>
    <w:rsid w:val="00A23E05"/>
    <w:rsid w:val="00A243AA"/>
    <w:rsid w:val="00A33E95"/>
    <w:rsid w:val="00A54C80"/>
    <w:rsid w:val="00A6198B"/>
    <w:rsid w:val="00A629AB"/>
    <w:rsid w:val="00A66C60"/>
    <w:rsid w:val="00A71285"/>
    <w:rsid w:val="00A7283C"/>
    <w:rsid w:val="00A76644"/>
    <w:rsid w:val="00A94A68"/>
    <w:rsid w:val="00A958DE"/>
    <w:rsid w:val="00AA03FA"/>
    <w:rsid w:val="00AB43DD"/>
    <w:rsid w:val="00AB48E7"/>
    <w:rsid w:val="00AC249F"/>
    <w:rsid w:val="00AD67ED"/>
    <w:rsid w:val="00AE36D1"/>
    <w:rsid w:val="00AE378E"/>
    <w:rsid w:val="00AF486D"/>
    <w:rsid w:val="00B052CA"/>
    <w:rsid w:val="00B130F9"/>
    <w:rsid w:val="00B15DC8"/>
    <w:rsid w:val="00B224D7"/>
    <w:rsid w:val="00B3246B"/>
    <w:rsid w:val="00B3576E"/>
    <w:rsid w:val="00B36546"/>
    <w:rsid w:val="00B415E1"/>
    <w:rsid w:val="00B4681C"/>
    <w:rsid w:val="00B468E6"/>
    <w:rsid w:val="00B52998"/>
    <w:rsid w:val="00B91ACD"/>
    <w:rsid w:val="00B93E8A"/>
    <w:rsid w:val="00B95C83"/>
    <w:rsid w:val="00B967FA"/>
    <w:rsid w:val="00B96D1D"/>
    <w:rsid w:val="00BA62D3"/>
    <w:rsid w:val="00BA7CC3"/>
    <w:rsid w:val="00BD04FA"/>
    <w:rsid w:val="00BE3897"/>
    <w:rsid w:val="00BE5545"/>
    <w:rsid w:val="00BF303E"/>
    <w:rsid w:val="00C0299A"/>
    <w:rsid w:val="00C22130"/>
    <w:rsid w:val="00C30D9C"/>
    <w:rsid w:val="00C32B15"/>
    <w:rsid w:val="00C34580"/>
    <w:rsid w:val="00C36310"/>
    <w:rsid w:val="00C40A7B"/>
    <w:rsid w:val="00C45186"/>
    <w:rsid w:val="00C4565D"/>
    <w:rsid w:val="00C52C3B"/>
    <w:rsid w:val="00C57D8C"/>
    <w:rsid w:val="00C64107"/>
    <w:rsid w:val="00C66295"/>
    <w:rsid w:val="00C82792"/>
    <w:rsid w:val="00C85084"/>
    <w:rsid w:val="00C90390"/>
    <w:rsid w:val="00C95AE1"/>
    <w:rsid w:val="00CB7BE0"/>
    <w:rsid w:val="00CC246A"/>
    <w:rsid w:val="00CC372F"/>
    <w:rsid w:val="00CC7AD0"/>
    <w:rsid w:val="00CD6DE9"/>
    <w:rsid w:val="00CE6E05"/>
    <w:rsid w:val="00CF4167"/>
    <w:rsid w:val="00CF5037"/>
    <w:rsid w:val="00CF5DC9"/>
    <w:rsid w:val="00CF7F5C"/>
    <w:rsid w:val="00D1325A"/>
    <w:rsid w:val="00D22096"/>
    <w:rsid w:val="00D252EB"/>
    <w:rsid w:val="00D35A97"/>
    <w:rsid w:val="00D368AE"/>
    <w:rsid w:val="00D40E93"/>
    <w:rsid w:val="00D549A3"/>
    <w:rsid w:val="00D54AEB"/>
    <w:rsid w:val="00D5623A"/>
    <w:rsid w:val="00D604C9"/>
    <w:rsid w:val="00D62CB7"/>
    <w:rsid w:val="00D63EFC"/>
    <w:rsid w:val="00D66384"/>
    <w:rsid w:val="00D80F99"/>
    <w:rsid w:val="00D8615E"/>
    <w:rsid w:val="00D87044"/>
    <w:rsid w:val="00DA2F43"/>
    <w:rsid w:val="00DB1CB9"/>
    <w:rsid w:val="00DB38F5"/>
    <w:rsid w:val="00DB3E90"/>
    <w:rsid w:val="00DC0BA5"/>
    <w:rsid w:val="00DC386D"/>
    <w:rsid w:val="00DD2C78"/>
    <w:rsid w:val="00DD5A3E"/>
    <w:rsid w:val="00DD5FFA"/>
    <w:rsid w:val="00DE36CB"/>
    <w:rsid w:val="00E01AD2"/>
    <w:rsid w:val="00E25388"/>
    <w:rsid w:val="00E26FE7"/>
    <w:rsid w:val="00E3027D"/>
    <w:rsid w:val="00E416EF"/>
    <w:rsid w:val="00E4273D"/>
    <w:rsid w:val="00E57917"/>
    <w:rsid w:val="00E65191"/>
    <w:rsid w:val="00E72281"/>
    <w:rsid w:val="00E752BB"/>
    <w:rsid w:val="00E80E14"/>
    <w:rsid w:val="00E84595"/>
    <w:rsid w:val="00E95077"/>
    <w:rsid w:val="00EA043F"/>
    <w:rsid w:val="00EA403A"/>
    <w:rsid w:val="00EC0EE7"/>
    <w:rsid w:val="00EC228D"/>
    <w:rsid w:val="00EE1475"/>
    <w:rsid w:val="00EE5144"/>
    <w:rsid w:val="00EF2396"/>
    <w:rsid w:val="00EF6A4D"/>
    <w:rsid w:val="00F12DF3"/>
    <w:rsid w:val="00F153A4"/>
    <w:rsid w:val="00F1654C"/>
    <w:rsid w:val="00F17D3A"/>
    <w:rsid w:val="00F31940"/>
    <w:rsid w:val="00F325CD"/>
    <w:rsid w:val="00F63E6C"/>
    <w:rsid w:val="00F70F92"/>
    <w:rsid w:val="00F75E29"/>
    <w:rsid w:val="00F766B8"/>
    <w:rsid w:val="00F77F92"/>
    <w:rsid w:val="00F821D1"/>
    <w:rsid w:val="00F9296D"/>
    <w:rsid w:val="00F940DD"/>
    <w:rsid w:val="00F95ABE"/>
    <w:rsid w:val="00FA2F01"/>
    <w:rsid w:val="00FA5D59"/>
    <w:rsid w:val="00FB25EE"/>
    <w:rsid w:val="00FB73E1"/>
    <w:rsid w:val="00FC5E7C"/>
    <w:rsid w:val="00FD0E6D"/>
    <w:rsid w:val="00FE03E6"/>
    <w:rsid w:val="00FE66EF"/>
    <w:rsid w:val="260BBE02"/>
    <w:rsid w:val="30B0E186"/>
    <w:rsid w:val="427E4B46"/>
    <w:rsid w:val="7EDA5BD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5B4B7"/>
  <w15:chartTrackingRefBased/>
  <w15:docId w15:val="{ED23E279-07F8-4920-BB47-D243A2A7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885"/>
    <w:pPr>
      <w:keepNext/>
      <w:keepLines/>
      <w:spacing w:before="360" w:after="80"/>
      <w:outlineLvl w:val="0"/>
    </w:pPr>
    <w:rPr>
      <w:rFonts w:asciiTheme="majorHAnsi" w:eastAsiaTheme="majorEastAsia" w:hAnsiTheme="majorHAnsi" w:cstheme="majorBidi"/>
      <w:color w:val="76B158"/>
      <w:sz w:val="40"/>
      <w:szCs w:val="40"/>
    </w:rPr>
  </w:style>
  <w:style w:type="paragraph" w:styleId="Heading2">
    <w:name w:val="heading 2"/>
    <w:basedOn w:val="Normal"/>
    <w:next w:val="Normal"/>
    <w:link w:val="Heading2Char"/>
    <w:uiPriority w:val="9"/>
    <w:unhideWhenUsed/>
    <w:qFormat/>
    <w:rsid w:val="00622885"/>
    <w:pPr>
      <w:keepNext/>
      <w:keepLines/>
      <w:spacing w:before="160" w:after="80"/>
      <w:outlineLvl w:val="1"/>
    </w:pPr>
    <w:rPr>
      <w:rFonts w:asciiTheme="majorHAnsi" w:eastAsiaTheme="majorEastAsia" w:hAnsiTheme="majorHAnsi" w:cstheme="majorBidi"/>
      <w:color w:val="76B158"/>
      <w:sz w:val="32"/>
      <w:szCs w:val="32"/>
    </w:rPr>
  </w:style>
  <w:style w:type="paragraph" w:styleId="Heading3">
    <w:name w:val="heading 3"/>
    <w:basedOn w:val="Normal"/>
    <w:next w:val="Normal"/>
    <w:link w:val="Heading3Char"/>
    <w:uiPriority w:val="9"/>
    <w:semiHidden/>
    <w:unhideWhenUsed/>
    <w:qFormat/>
    <w:rsid w:val="00890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85"/>
    <w:rPr>
      <w:rFonts w:asciiTheme="majorHAnsi" w:eastAsiaTheme="majorEastAsia" w:hAnsiTheme="majorHAnsi" w:cstheme="majorBidi"/>
      <w:color w:val="76B158"/>
      <w:sz w:val="40"/>
      <w:szCs w:val="40"/>
    </w:rPr>
  </w:style>
  <w:style w:type="character" w:customStyle="1" w:styleId="Heading2Char">
    <w:name w:val="Heading 2 Char"/>
    <w:basedOn w:val="DefaultParagraphFont"/>
    <w:link w:val="Heading2"/>
    <w:uiPriority w:val="9"/>
    <w:rsid w:val="00622885"/>
    <w:rPr>
      <w:rFonts w:asciiTheme="majorHAnsi" w:eastAsiaTheme="majorEastAsia" w:hAnsiTheme="majorHAnsi" w:cstheme="majorBidi"/>
      <w:color w:val="76B158"/>
      <w:sz w:val="32"/>
      <w:szCs w:val="32"/>
    </w:rPr>
  </w:style>
  <w:style w:type="character" w:customStyle="1" w:styleId="Heading3Char">
    <w:name w:val="Heading 3 Char"/>
    <w:basedOn w:val="DefaultParagraphFont"/>
    <w:link w:val="Heading3"/>
    <w:uiPriority w:val="9"/>
    <w:semiHidden/>
    <w:rsid w:val="00890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882"/>
    <w:rPr>
      <w:rFonts w:eastAsiaTheme="majorEastAsia" w:cstheme="majorBidi"/>
      <w:color w:val="272727" w:themeColor="text1" w:themeTint="D8"/>
    </w:rPr>
  </w:style>
  <w:style w:type="paragraph" w:styleId="Title">
    <w:name w:val="Title"/>
    <w:basedOn w:val="Normal"/>
    <w:next w:val="Normal"/>
    <w:link w:val="TitleChar"/>
    <w:uiPriority w:val="10"/>
    <w:qFormat/>
    <w:rsid w:val="00C82792"/>
    <w:pPr>
      <w:spacing w:after="80" w:line="240" w:lineRule="auto"/>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C82792"/>
    <w:rPr>
      <w:rFonts w:asciiTheme="majorHAnsi" w:eastAsiaTheme="majorEastAsia" w:hAnsiTheme="majorHAnsi" w:cstheme="majorBidi"/>
      <w:spacing w:val="-10"/>
      <w:kern w:val="28"/>
      <w:sz w:val="52"/>
      <w:szCs w:val="52"/>
    </w:rPr>
  </w:style>
  <w:style w:type="paragraph" w:styleId="Subtitle">
    <w:name w:val="Subtitle"/>
    <w:basedOn w:val="Normal"/>
    <w:next w:val="Normal"/>
    <w:link w:val="SubtitleChar"/>
    <w:uiPriority w:val="11"/>
    <w:qFormat/>
    <w:rsid w:val="00622885"/>
    <w:pPr>
      <w:numPr>
        <w:ilvl w:val="1"/>
      </w:numPr>
    </w:pPr>
    <w:rPr>
      <w:rFonts w:eastAsiaTheme="majorEastAsia" w:cstheme="majorBidi"/>
      <w:color w:val="76B158"/>
      <w:spacing w:val="15"/>
      <w:sz w:val="28"/>
      <w:szCs w:val="28"/>
    </w:rPr>
  </w:style>
  <w:style w:type="character" w:customStyle="1" w:styleId="SubtitleChar">
    <w:name w:val="Subtitle Char"/>
    <w:basedOn w:val="DefaultParagraphFont"/>
    <w:link w:val="Subtitle"/>
    <w:uiPriority w:val="11"/>
    <w:rsid w:val="00622885"/>
    <w:rPr>
      <w:rFonts w:eastAsiaTheme="majorEastAsia" w:cstheme="majorBidi"/>
      <w:color w:val="76B158"/>
      <w:spacing w:val="15"/>
      <w:sz w:val="28"/>
      <w:szCs w:val="28"/>
    </w:rPr>
  </w:style>
  <w:style w:type="paragraph" w:styleId="Quote">
    <w:name w:val="Quote"/>
    <w:basedOn w:val="Normal"/>
    <w:next w:val="Normal"/>
    <w:link w:val="QuoteChar"/>
    <w:uiPriority w:val="29"/>
    <w:qFormat/>
    <w:rsid w:val="00890882"/>
    <w:pPr>
      <w:spacing w:before="160"/>
      <w:jc w:val="center"/>
    </w:pPr>
    <w:rPr>
      <w:i/>
      <w:iCs/>
      <w:color w:val="404040" w:themeColor="text1" w:themeTint="BF"/>
    </w:rPr>
  </w:style>
  <w:style w:type="character" w:customStyle="1" w:styleId="QuoteChar">
    <w:name w:val="Quote Char"/>
    <w:basedOn w:val="DefaultParagraphFont"/>
    <w:link w:val="Quote"/>
    <w:uiPriority w:val="29"/>
    <w:rsid w:val="00890882"/>
    <w:rPr>
      <w:i/>
      <w:iCs/>
      <w:color w:val="404040" w:themeColor="text1" w:themeTint="BF"/>
    </w:rPr>
  </w:style>
  <w:style w:type="paragraph" w:styleId="ListParagraph">
    <w:name w:val="List Paragraph"/>
    <w:basedOn w:val="Normal"/>
    <w:uiPriority w:val="34"/>
    <w:qFormat/>
    <w:rsid w:val="00890882"/>
    <w:pPr>
      <w:ind w:left="720"/>
      <w:contextualSpacing/>
    </w:pPr>
  </w:style>
  <w:style w:type="character" w:styleId="IntenseEmphasis">
    <w:name w:val="Intense Emphasis"/>
    <w:basedOn w:val="DefaultParagraphFont"/>
    <w:uiPriority w:val="21"/>
    <w:qFormat/>
    <w:rsid w:val="00890882"/>
    <w:rPr>
      <w:i/>
      <w:iCs/>
      <w:color w:val="0F4761" w:themeColor="accent1" w:themeShade="BF"/>
    </w:rPr>
  </w:style>
  <w:style w:type="paragraph" w:styleId="IntenseQuote">
    <w:name w:val="Intense Quote"/>
    <w:basedOn w:val="Normal"/>
    <w:next w:val="Normal"/>
    <w:link w:val="IntenseQuoteChar"/>
    <w:uiPriority w:val="30"/>
    <w:qFormat/>
    <w:rsid w:val="0089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882"/>
    <w:rPr>
      <w:i/>
      <w:iCs/>
      <w:color w:val="0F4761" w:themeColor="accent1" w:themeShade="BF"/>
    </w:rPr>
  </w:style>
  <w:style w:type="character" w:styleId="IntenseReference">
    <w:name w:val="Intense Reference"/>
    <w:basedOn w:val="DefaultParagraphFont"/>
    <w:uiPriority w:val="32"/>
    <w:qFormat/>
    <w:rsid w:val="00890882"/>
    <w:rPr>
      <w:b/>
      <w:bCs/>
      <w:smallCaps/>
      <w:color w:val="0F4761" w:themeColor="accent1" w:themeShade="BF"/>
      <w:spacing w:val="5"/>
    </w:rPr>
  </w:style>
  <w:style w:type="character" w:customStyle="1" w:styleId="normaltextrun">
    <w:name w:val="normaltextrun"/>
    <w:basedOn w:val="DefaultParagraphFont"/>
    <w:rsid w:val="00CB7BE0"/>
  </w:style>
  <w:style w:type="character" w:styleId="CommentReference">
    <w:name w:val="annotation reference"/>
    <w:basedOn w:val="DefaultParagraphFont"/>
    <w:uiPriority w:val="99"/>
    <w:semiHidden/>
    <w:unhideWhenUsed/>
    <w:rsid w:val="002E2031"/>
    <w:rPr>
      <w:sz w:val="16"/>
      <w:szCs w:val="16"/>
    </w:rPr>
  </w:style>
  <w:style w:type="paragraph" w:styleId="CommentText">
    <w:name w:val="annotation text"/>
    <w:basedOn w:val="Normal"/>
    <w:link w:val="CommentTextChar"/>
    <w:uiPriority w:val="99"/>
    <w:unhideWhenUsed/>
    <w:rsid w:val="002E2031"/>
    <w:pPr>
      <w:spacing w:line="240" w:lineRule="auto"/>
    </w:pPr>
    <w:rPr>
      <w:sz w:val="20"/>
      <w:szCs w:val="20"/>
    </w:rPr>
  </w:style>
  <w:style w:type="character" w:customStyle="1" w:styleId="CommentTextChar">
    <w:name w:val="Comment Text Char"/>
    <w:basedOn w:val="DefaultParagraphFont"/>
    <w:link w:val="CommentText"/>
    <w:uiPriority w:val="99"/>
    <w:rsid w:val="002E2031"/>
    <w:rPr>
      <w:sz w:val="20"/>
      <w:szCs w:val="20"/>
    </w:rPr>
  </w:style>
  <w:style w:type="character" w:customStyle="1" w:styleId="eop">
    <w:name w:val="eop"/>
    <w:basedOn w:val="DefaultParagraphFont"/>
    <w:rsid w:val="002E2031"/>
  </w:style>
  <w:style w:type="paragraph" w:styleId="CommentSubject">
    <w:name w:val="annotation subject"/>
    <w:basedOn w:val="CommentText"/>
    <w:next w:val="CommentText"/>
    <w:link w:val="CommentSubjectChar"/>
    <w:uiPriority w:val="99"/>
    <w:semiHidden/>
    <w:unhideWhenUsed/>
    <w:rsid w:val="008507B4"/>
    <w:rPr>
      <w:b/>
      <w:bCs/>
    </w:rPr>
  </w:style>
  <w:style w:type="character" w:customStyle="1" w:styleId="CommentSubjectChar">
    <w:name w:val="Comment Subject Char"/>
    <w:basedOn w:val="CommentTextChar"/>
    <w:link w:val="CommentSubject"/>
    <w:uiPriority w:val="99"/>
    <w:semiHidden/>
    <w:rsid w:val="008507B4"/>
    <w:rPr>
      <w:b/>
      <w:bCs/>
      <w:sz w:val="20"/>
      <w:szCs w:val="20"/>
    </w:rPr>
  </w:style>
  <w:style w:type="paragraph" w:styleId="Header">
    <w:name w:val="header"/>
    <w:basedOn w:val="Normal"/>
    <w:link w:val="HeaderChar"/>
    <w:uiPriority w:val="99"/>
    <w:unhideWhenUsed/>
    <w:rsid w:val="0037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123"/>
  </w:style>
  <w:style w:type="paragraph" w:styleId="Footer">
    <w:name w:val="footer"/>
    <w:basedOn w:val="Normal"/>
    <w:link w:val="FooterChar"/>
    <w:unhideWhenUsed/>
    <w:rsid w:val="00377123"/>
    <w:pPr>
      <w:tabs>
        <w:tab w:val="center" w:pos="4680"/>
        <w:tab w:val="right" w:pos="9360"/>
      </w:tabs>
      <w:spacing w:after="0" w:line="240" w:lineRule="auto"/>
    </w:pPr>
  </w:style>
  <w:style w:type="character" w:customStyle="1" w:styleId="FooterChar">
    <w:name w:val="Footer Char"/>
    <w:basedOn w:val="DefaultParagraphFont"/>
    <w:link w:val="Footer"/>
    <w:rsid w:val="00377123"/>
  </w:style>
  <w:style w:type="character" w:styleId="Hyperlink">
    <w:name w:val="Hyperlink"/>
    <w:basedOn w:val="DefaultParagraphFont"/>
    <w:uiPriority w:val="99"/>
    <w:unhideWhenUsed/>
    <w:rsid w:val="00377123"/>
    <w:rPr>
      <w:color w:val="467886" w:themeColor="hyperlink"/>
      <w:u w:val="single"/>
    </w:rPr>
  </w:style>
  <w:style w:type="character" w:styleId="UnresolvedMention">
    <w:name w:val="Unresolved Mention"/>
    <w:basedOn w:val="DefaultParagraphFont"/>
    <w:uiPriority w:val="99"/>
    <w:semiHidden/>
    <w:unhideWhenUsed/>
    <w:rsid w:val="00377123"/>
    <w:rPr>
      <w:color w:val="605E5C"/>
      <w:shd w:val="clear" w:color="auto" w:fill="E1DFDD"/>
    </w:rPr>
  </w:style>
  <w:style w:type="paragraph" w:styleId="Revision">
    <w:name w:val="Revision"/>
    <w:hidden/>
    <w:uiPriority w:val="99"/>
    <w:semiHidden/>
    <w:rsid w:val="003A7B6D"/>
    <w:pPr>
      <w:spacing w:after="0" w:line="240" w:lineRule="auto"/>
    </w:pPr>
  </w:style>
  <w:style w:type="paragraph" w:styleId="BalloonText">
    <w:name w:val="Balloon Text"/>
    <w:basedOn w:val="Normal"/>
    <w:link w:val="BalloonTextChar"/>
    <w:uiPriority w:val="99"/>
    <w:semiHidden/>
    <w:unhideWhenUsed/>
    <w:rsid w:val="009643F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43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2840">
      <w:bodyDiv w:val="1"/>
      <w:marLeft w:val="0"/>
      <w:marRight w:val="0"/>
      <w:marTop w:val="0"/>
      <w:marBottom w:val="0"/>
      <w:divBdr>
        <w:top w:val="none" w:sz="0" w:space="0" w:color="auto"/>
        <w:left w:val="none" w:sz="0" w:space="0" w:color="auto"/>
        <w:bottom w:val="none" w:sz="0" w:space="0" w:color="auto"/>
        <w:right w:val="none" w:sz="0" w:space="0" w:color="auto"/>
      </w:divBdr>
    </w:div>
    <w:div w:id="966857529">
      <w:bodyDiv w:val="1"/>
      <w:marLeft w:val="0"/>
      <w:marRight w:val="0"/>
      <w:marTop w:val="0"/>
      <w:marBottom w:val="0"/>
      <w:divBdr>
        <w:top w:val="none" w:sz="0" w:space="0" w:color="auto"/>
        <w:left w:val="none" w:sz="0" w:space="0" w:color="auto"/>
        <w:bottom w:val="none" w:sz="0" w:space="0" w:color="auto"/>
        <w:right w:val="none" w:sz="0" w:space="0" w:color="auto"/>
      </w:divBdr>
    </w:div>
    <w:div w:id="1164128122">
      <w:bodyDiv w:val="1"/>
      <w:marLeft w:val="0"/>
      <w:marRight w:val="0"/>
      <w:marTop w:val="0"/>
      <w:marBottom w:val="0"/>
      <w:divBdr>
        <w:top w:val="none" w:sz="0" w:space="0" w:color="auto"/>
        <w:left w:val="none" w:sz="0" w:space="0" w:color="auto"/>
        <w:bottom w:val="none" w:sz="0" w:space="0" w:color="auto"/>
        <w:right w:val="none" w:sz="0" w:space="0" w:color="auto"/>
      </w:divBdr>
    </w:div>
    <w:div w:id="1171867793">
      <w:bodyDiv w:val="1"/>
      <w:marLeft w:val="0"/>
      <w:marRight w:val="0"/>
      <w:marTop w:val="0"/>
      <w:marBottom w:val="0"/>
      <w:divBdr>
        <w:top w:val="none" w:sz="0" w:space="0" w:color="auto"/>
        <w:left w:val="none" w:sz="0" w:space="0" w:color="auto"/>
        <w:bottom w:val="none" w:sz="0" w:space="0" w:color="auto"/>
        <w:right w:val="none" w:sz="0" w:space="0" w:color="auto"/>
      </w:divBdr>
    </w:div>
    <w:div w:id="1337884450">
      <w:bodyDiv w:val="1"/>
      <w:marLeft w:val="0"/>
      <w:marRight w:val="0"/>
      <w:marTop w:val="0"/>
      <w:marBottom w:val="0"/>
      <w:divBdr>
        <w:top w:val="none" w:sz="0" w:space="0" w:color="auto"/>
        <w:left w:val="none" w:sz="0" w:space="0" w:color="auto"/>
        <w:bottom w:val="none" w:sz="0" w:space="0" w:color="auto"/>
        <w:right w:val="none" w:sz="0" w:space="0" w:color="auto"/>
      </w:divBdr>
    </w:div>
    <w:div w:id="1539971590">
      <w:bodyDiv w:val="1"/>
      <w:marLeft w:val="0"/>
      <w:marRight w:val="0"/>
      <w:marTop w:val="0"/>
      <w:marBottom w:val="0"/>
      <w:divBdr>
        <w:top w:val="none" w:sz="0" w:space="0" w:color="auto"/>
        <w:left w:val="none" w:sz="0" w:space="0" w:color="auto"/>
        <w:bottom w:val="none" w:sz="0" w:space="0" w:color="auto"/>
        <w:right w:val="none" w:sz="0" w:space="0" w:color="auto"/>
      </w:divBdr>
    </w:div>
    <w:div w:id="1672178155">
      <w:bodyDiv w:val="1"/>
      <w:marLeft w:val="0"/>
      <w:marRight w:val="0"/>
      <w:marTop w:val="0"/>
      <w:marBottom w:val="0"/>
      <w:divBdr>
        <w:top w:val="none" w:sz="0" w:space="0" w:color="auto"/>
        <w:left w:val="none" w:sz="0" w:space="0" w:color="auto"/>
        <w:bottom w:val="none" w:sz="0" w:space="0" w:color="auto"/>
        <w:right w:val="none" w:sz="0" w:space="0" w:color="auto"/>
      </w:divBdr>
    </w:div>
    <w:div w:id="21414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D58E-B518-47DD-854D-55C3395B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Meintzer</dc:creator>
  <cp:keywords/>
  <dc:description/>
  <cp:lastModifiedBy>Debborah Donnelly, AWA</cp:lastModifiedBy>
  <cp:revision>5</cp:revision>
  <dcterms:created xsi:type="dcterms:W3CDTF">2025-01-08T20:19:00Z</dcterms:created>
  <dcterms:modified xsi:type="dcterms:W3CDTF">2025-01-21T20:16:00Z</dcterms:modified>
</cp:coreProperties>
</file>